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Notifications: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When the employee is not in the building, the worker will receive all notifications so he doesn’t miss a thing. When the employee is in the building, only the most important notifications are shown, because the rest is taken care of by the lights and the sound.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Lights: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 lights in the printer room shows the printer status. Different colors can be used to show different warnings or errors. For example: Blue light when the printer is low on Cyan ink...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Sound: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Sound can be used to support the lights by making the message more clear with voice. Also different beeps and chimes can be played when a critical error occurres. With the sound colorblind employees can also work with the system.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Categories: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Every feedback the worker gets from the printer can be divided in three categories. We use base colors for each part of the printing process, for example: The paper feed is normally colored purple, but when the printer is almost out of paper, it becomes more red.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