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EFFICACY</w:t>
      </w:r>
    </w:p>
    <w:p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Rate of complete aneurysm occlusion at 12 months (CORELAB) [ITT - N=137 patients] </w:t>
      </w:r>
    </w:p>
    <w:p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71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" w:type="dxa"/>
              <w:right w:w="10" w:type="dxa"/>
            </w:tcMar>
          </w:tcPr>
          <w:p w:rsidR="00000000" w:rsidRDefault="00000000">
            <w:pPr>
              <w:adjustRightInd w:val="0"/>
              <w:spacing w:before="10" w:after="10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La procédure FREQ</w:t>
            </w:r>
          </w:p>
        </w:tc>
      </w:tr>
    </w:tbl>
    <w:p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</w:p>
    <w:p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  <w:r>
        <w:rPr>
          <w:rFonts w:ascii="Arial" w:hAnsi="Arial" w:cs="Arial"/>
          <w:b/>
          <w:bCs/>
          <w:i/>
          <w:iCs/>
          <w:color w:val="000000"/>
          <w:sz w:val="16"/>
          <w:szCs w:val="16"/>
        </w:rPr>
        <w:br w:type="page"/>
      </w:r>
    </w:p>
    <w:p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  <w:sectPr w:rsidR="00000000">
          <w:headerReference w:type="default" r:id="rId6"/>
          <w:footerReference w:type="default" r:id="rId7"/>
          <w:pgSz w:w="11905" w:h="16837"/>
          <w:pgMar w:top="567" w:right="567" w:bottom="567" w:left="567" w:header="927" w:footer="567" w:gutter="0"/>
          <w:pgNumType w:start="1"/>
          <w:cols w:space="720"/>
        </w:sectPr>
      </w:pPr>
    </w:p>
    <w:p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EFFICACY</w:t>
      </w:r>
    </w:p>
    <w:p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Rate of complete aneurysm occlusion at 12 months (CORELAB) [ITT - N=137 patients] </w:t>
      </w:r>
    </w:p>
    <w:p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71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" w:type="dxa"/>
              <w:right w:w="10" w:type="dxa"/>
            </w:tcMar>
          </w:tcPr>
          <w:p w:rsidR="00000000" w:rsidRDefault="00000000">
            <w:pPr>
              <w:adjustRightInd w:val="0"/>
              <w:spacing w:before="10" w:after="10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La procédure FREQ</w:t>
            </w:r>
          </w:p>
        </w:tc>
      </w:tr>
    </w:tbl>
    <w:p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32"/>
        <w:gridCol w:w="627"/>
        <w:gridCol w:w="843"/>
        <w:gridCol w:w="65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752" w:type="dxa"/>
            <w:gridSpan w:val="4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0" w:name="IDX"/>
            <w:bookmarkEnd w:id="0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Table de fgroup par CJP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fgroup(Subgroup device)</w:t>
            </w:r>
          </w:p>
        </w:tc>
        <w:tc>
          <w:tcPr>
            <w:tcW w:w="2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CJP(Rate of complete aneurysm occlusion at 12 months)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163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Fréquence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Pourcentage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Pct de ligne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Pct de col.</w:t>
            </w:r>
          </w:p>
        </w:tc>
        <w:tc>
          <w:tcPr>
            <w:tcW w:w="627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Echec</w:t>
            </w:r>
          </w:p>
        </w:tc>
        <w:tc>
          <w:tcPr>
            <w:tcW w:w="84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Success</w:t>
            </w:r>
          </w:p>
        </w:tc>
        <w:tc>
          <w:tcPr>
            <w:tcW w:w="650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6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12.41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19.32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65.38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71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51.82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80.68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63.96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88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64.23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6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6.57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18.37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34.62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40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29.20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81.63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36.04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49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35.77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3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627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18.98</w:t>
            </w:r>
          </w:p>
        </w:tc>
        <w:tc>
          <w:tcPr>
            <w:tcW w:w="84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111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81.02</w:t>
            </w:r>
          </w:p>
        </w:tc>
        <w:tc>
          <w:tcPr>
            <w:tcW w:w="650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137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100.00</w:t>
            </w:r>
          </w:p>
        </w:tc>
      </w:tr>
    </w:tbl>
    <w:p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71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" w:type="dxa"/>
              <w:right w:w="10" w:type="dxa"/>
            </w:tcMar>
          </w:tcPr>
          <w:p w:rsidR="00000000" w:rsidRDefault="00000000">
            <w:pPr>
              <w:adjustRightInd w:val="0"/>
              <w:spacing w:before="10" w:after="10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Statistiques pour la table  de fgroup par CJP</w:t>
            </w:r>
          </w:p>
        </w:tc>
      </w:tr>
    </w:tbl>
    <w:p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45"/>
        <w:gridCol w:w="453"/>
        <w:gridCol w:w="650"/>
        <w:gridCol w:w="65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14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1" w:name="IDX1"/>
            <w:bookmarkEnd w:id="1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Statistique</w:t>
            </w:r>
          </w:p>
        </w:tc>
        <w:tc>
          <w:tcPr>
            <w:tcW w:w="45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DDL</w:t>
            </w:r>
          </w:p>
        </w:tc>
        <w:tc>
          <w:tcPr>
            <w:tcW w:w="65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Valeur</w:t>
            </w:r>
          </w:p>
        </w:tc>
        <w:tc>
          <w:tcPr>
            <w:tcW w:w="65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Prob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Khi-2</w:t>
            </w: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0.0185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0.8918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Test du rapport de vraisemblance</w:t>
            </w: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0.0186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0.8916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Khi-2 continuité ajustée</w:t>
            </w: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1.0000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Khi-2 de Mantel-Haenszel</w:t>
            </w: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0.0184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0.8922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Coefficient Phi</w:t>
            </w: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0.0116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Coefficient de contingence</w:t>
            </w: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0.0116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V de Cramer</w:t>
            </w:r>
          </w:p>
        </w:tc>
        <w:tc>
          <w:tcPr>
            <w:tcW w:w="45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0.0116</w:t>
            </w:r>
          </w:p>
        </w:tc>
        <w:tc>
          <w:tcPr>
            <w:tcW w:w="650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</w:tbl>
    <w:p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19"/>
        <w:gridCol w:w="65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269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2" w:name="IDX2"/>
            <w:bookmarkEnd w:id="2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Test exact de Fisher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Cellule (1,1) Fréquence (F)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 &lt;= F unilatérale à gauche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0.6370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 &gt;= F unilatérale à droite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0.5416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Probabilité de la table (P)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0.1787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 &lt;= P bilatéral</w:t>
            </w:r>
          </w:p>
        </w:tc>
        <w:tc>
          <w:tcPr>
            <w:tcW w:w="650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1.0000</w:t>
            </w:r>
          </w:p>
        </w:tc>
      </w:tr>
    </w:tbl>
    <w:p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71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" w:type="dxa"/>
              <w:right w:w="10" w:type="dxa"/>
            </w:tcMar>
          </w:tcPr>
          <w:p w:rsidR="00000000" w:rsidRDefault="00000000">
            <w:pPr>
              <w:adjustRightInd w:val="0"/>
              <w:spacing w:before="10" w:after="10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Taille de l'échantillon = 137</w:t>
            </w:r>
          </w:p>
        </w:tc>
      </w:tr>
    </w:tbl>
    <w:p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</w:p>
    <w:p w:rsidR="00000000" w:rsidRDefault="00000000">
      <w:pPr>
        <w:adjustRightInd w:val="0"/>
        <w:jc w:val="center"/>
        <w:rPr>
          <w:sz w:val="24"/>
          <w:szCs w:val="24"/>
        </w:rPr>
      </w:pPr>
    </w:p>
    <w:p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  <w:r>
        <w:rPr>
          <w:rFonts w:ascii="Arial" w:hAnsi="Arial" w:cs="Arial"/>
          <w:b/>
          <w:bCs/>
          <w:i/>
          <w:iCs/>
          <w:color w:val="000000"/>
          <w:sz w:val="16"/>
          <w:szCs w:val="16"/>
        </w:rPr>
        <w:br w:type="page"/>
      </w:r>
    </w:p>
    <w:p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  <w:sectPr w:rsidR="00000000">
          <w:headerReference w:type="default" r:id="rId8"/>
          <w:footerReference w:type="default" r:id="rId9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EFFICACY</w:t>
      </w:r>
    </w:p>
    <w:p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Rate of complete aneurysm occlusion at 12 months (CORELAB) [ITT - N=137 patients] </w:t>
      </w:r>
    </w:p>
    <w:p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1716"/>
        <w:gridCol w:w="1602"/>
        <w:gridCol w:w="1602"/>
        <w:gridCol w:w="1602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984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3" w:name="IDX3"/>
            <w:bookmarkEnd w:id="3"/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/ FRED Jr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N=88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X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N=49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N=137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Rate of complete aneurysm occlusion at 12 months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88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Echec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17 (19.3%)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 (18.4%)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26 (19.0%)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Success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71 (80.7%)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40 (81.6%)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111 (81.0%)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95% CI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72.4% - 88.9%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70.8% - 92.5%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74.5% - 87.6%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Between group test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0.892 (Chi-2)</w:t>
            </w:r>
          </w:p>
        </w:tc>
      </w:tr>
    </w:tbl>
    <w:p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:rsidR="00000000" w:rsidRDefault="00000000">
      <w:pPr>
        <w:adjustRightInd w:val="0"/>
        <w:jc w:val="center"/>
        <w:rPr>
          <w:sz w:val="24"/>
          <w:szCs w:val="24"/>
        </w:rPr>
      </w:pPr>
    </w:p>
    <w:p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  <w:sectPr w:rsidR="00000000">
          <w:headerReference w:type="default" r:id="rId10"/>
          <w:footerReference w:type="default" r:id="rId11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EFFICACY</w:t>
      </w:r>
    </w:p>
    <w:p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Rate of complete aneurysm occlusion at 12 months (CORELAB) [PP - N=125 patients] </w:t>
      </w:r>
    </w:p>
    <w:p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71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" w:type="dxa"/>
              <w:right w:w="10" w:type="dxa"/>
            </w:tcMar>
          </w:tcPr>
          <w:p w:rsidR="00000000" w:rsidRDefault="00000000">
            <w:pPr>
              <w:adjustRightInd w:val="0"/>
              <w:spacing w:before="10" w:after="10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La procédure FREQ</w:t>
            </w:r>
          </w:p>
        </w:tc>
      </w:tr>
    </w:tbl>
    <w:p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</w:p>
    <w:p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  <w:r>
        <w:rPr>
          <w:rFonts w:ascii="Arial" w:hAnsi="Arial" w:cs="Arial"/>
          <w:b/>
          <w:bCs/>
          <w:i/>
          <w:iCs/>
          <w:color w:val="000000"/>
          <w:sz w:val="16"/>
          <w:szCs w:val="16"/>
        </w:rPr>
        <w:br w:type="page"/>
      </w:r>
    </w:p>
    <w:p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  <w:sectPr w:rsidR="00000000">
          <w:headerReference w:type="default" r:id="rId12"/>
          <w:footerReference w:type="default" r:id="rId13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EFFICACY</w:t>
      </w:r>
    </w:p>
    <w:p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Rate of complete aneurysm occlusion at 12 months (CORELAB) [PP - N=125 patients] </w:t>
      </w:r>
    </w:p>
    <w:p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71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" w:type="dxa"/>
              <w:right w:w="10" w:type="dxa"/>
            </w:tcMar>
          </w:tcPr>
          <w:p w:rsidR="00000000" w:rsidRDefault="00000000">
            <w:pPr>
              <w:adjustRightInd w:val="0"/>
              <w:spacing w:before="10" w:after="10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La procédure FREQ</w:t>
            </w:r>
          </w:p>
        </w:tc>
      </w:tr>
    </w:tbl>
    <w:p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32"/>
        <w:gridCol w:w="627"/>
        <w:gridCol w:w="843"/>
        <w:gridCol w:w="65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752" w:type="dxa"/>
            <w:gridSpan w:val="4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4" w:name="IDX4"/>
            <w:bookmarkEnd w:id="4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Table de fgroup par CJP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fgroup(Subgroup device)</w:t>
            </w:r>
          </w:p>
        </w:tc>
        <w:tc>
          <w:tcPr>
            <w:tcW w:w="2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CJP(Rate of complete aneurysm occlusion at 12 months)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163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Fréquence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Pourcentage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Pct de ligne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Pct de col.</w:t>
            </w:r>
          </w:p>
        </w:tc>
        <w:tc>
          <w:tcPr>
            <w:tcW w:w="627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Echec</w:t>
            </w:r>
          </w:p>
        </w:tc>
        <w:tc>
          <w:tcPr>
            <w:tcW w:w="84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Success</w:t>
            </w:r>
          </w:p>
        </w:tc>
        <w:tc>
          <w:tcPr>
            <w:tcW w:w="650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6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12.80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20.00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64.00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64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51.20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80.00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64.00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80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64.00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6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7.20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20.00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36.00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36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28.80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80.00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36.00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45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36.00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3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</w:p>
        </w:tc>
        <w:tc>
          <w:tcPr>
            <w:tcW w:w="627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20.00</w:t>
            </w:r>
          </w:p>
        </w:tc>
        <w:tc>
          <w:tcPr>
            <w:tcW w:w="84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80.00</w:t>
            </w:r>
          </w:p>
        </w:tc>
        <w:tc>
          <w:tcPr>
            <w:tcW w:w="650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125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100.00</w:t>
            </w:r>
          </w:p>
        </w:tc>
      </w:tr>
    </w:tbl>
    <w:p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71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" w:type="dxa"/>
              <w:right w:w="10" w:type="dxa"/>
            </w:tcMar>
          </w:tcPr>
          <w:p w:rsidR="00000000" w:rsidRDefault="00000000">
            <w:pPr>
              <w:adjustRightInd w:val="0"/>
              <w:spacing w:before="10" w:after="10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Statistiques pour la table  de fgroup par CJP</w:t>
            </w:r>
          </w:p>
        </w:tc>
      </w:tr>
    </w:tbl>
    <w:p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45"/>
        <w:gridCol w:w="453"/>
        <w:gridCol w:w="650"/>
        <w:gridCol w:w="65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14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5" w:name="IDX5"/>
            <w:bookmarkEnd w:id="5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Statistique</w:t>
            </w:r>
          </w:p>
        </w:tc>
        <w:tc>
          <w:tcPr>
            <w:tcW w:w="45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DDL</w:t>
            </w:r>
          </w:p>
        </w:tc>
        <w:tc>
          <w:tcPr>
            <w:tcW w:w="65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Valeur</w:t>
            </w:r>
          </w:p>
        </w:tc>
        <w:tc>
          <w:tcPr>
            <w:tcW w:w="65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Prob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Khi-2</w:t>
            </w: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1.0000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Test du rapport de vraisemblance</w:t>
            </w: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1.0000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Khi-2 continuité ajustée</w:t>
            </w: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1.0000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Khi-2 de Mantel-Haenszel</w:t>
            </w: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1.0000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Coefficient Phi</w:t>
            </w: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Coefficient de contingence</w:t>
            </w: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4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V de Cramer</w:t>
            </w:r>
          </w:p>
        </w:tc>
        <w:tc>
          <w:tcPr>
            <w:tcW w:w="45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650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</w:tbl>
    <w:p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19"/>
        <w:gridCol w:w="65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269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6" w:name="IDX6"/>
            <w:bookmarkEnd w:id="6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Test exact de Fisher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Cellule (1,1) Fréquence (F)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 &lt;= F unilatérale à gauche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0.5869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 &gt;= F unilatérale à droite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0.5968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Probabilité de la table (P)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0.1837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19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 &lt;= P bilatéral</w:t>
            </w:r>
          </w:p>
        </w:tc>
        <w:tc>
          <w:tcPr>
            <w:tcW w:w="650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1.0000</w:t>
            </w:r>
          </w:p>
        </w:tc>
      </w:tr>
    </w:tbl>
    <w:p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71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07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" w:type="dxa"/>
              <w:right w:w="10" w:type="dxa"/>
            </w:tcMar>
          </w:tcPr>
          <w:p w:rsidR="00000000" w:rsidRDefault="00000000">
            <w:pPr>
              <w:adjustRightInd w:val="0"/>
              <w:spacing w:before="10" w:after="10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Taille de l'échantillon = 125</w:t>
            </w:r>
          </w:p>
        </w:tc>
      </w:tr>
    </w:tbl>
    <w:p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</w:p>
    <w:p w:rsidR="00000000" w:rsidRDefault="00000000">
      <w:pPr>
        <w:adjustRightInd w:val="0"/>
        <w:jc w:val="center"/>
        <w:rPr>
          <w:sz w:val="24"/>
          <w:szCs w:val="24"/>
        </w:rPr>
      </w:pPr>
    </w:p>
    <w:p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  <w:r>
        <w:rPr>
          <w:rFonts w:ascii="Arial" w:hAnsi="Arial" w:cs="Arial"/>
          <w:b/>
          <w:bCs/>
          <w:i/>
          <w:iCs/>
          <w:color w:val="000000"/>
          <w:sz w:val="16"/>
          <w:szCs w:val="16"/>
        </w:rPr>
        <w:br w:type="page"/>
      </w:r>
    </w:p>
    <w:p w:rsidR="00000000" w:rsidRDefault="00000000">
      <w:pPr>
        <w:adjustRightInd w:val="0"/>
        <w:rPr>
          <w:rFonts w:ascii="Arial" w:hAnsi="Arial" w:cs="Arial"/>
          <w:b/>
          <w:bCs/>
          <w:i/>
          <w:iCs/>
          <w:color w:val="000000"/>
          <w:sz w:val="16"/>
          <w:szCs w:val="16"/>
        </w:rPr>
        <w:sectPr w:rsidR="00000000">
          <w:headerReference w:type="default" r:id="rId14"/>
          <w:footerReference w:type="default" r:id="rId15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EFFICACY</w:t>
      </w:r>
    </w:p>
    <w:p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Rate of complete aneurysm occlusion at 12 months (CORELAB) [PP - N=125 patients] </w:t>
      </w:r>
    </w:p>
    <w:p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1716"/>
        <w:gridCol w:w="1602"/>
        <w:gridCol w:w="1602"/>
        <w:gridCol w:w="1602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984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7" w:name="IDX7"/>
            <w:bookmarkEnd w:id="7"/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/ FRED Jr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N=80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X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N=45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N=125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Rate of complete aneurysm occlusion at 12 months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Echec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 (20.0%)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 (20.0%)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25 (20.0%)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Success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64 (80.0%)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36 (80.0%)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100 (80.0%)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95% CI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71.2% - 88.8%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68.3% - 91.7%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73% - 87%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Between group test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1.000 (Chi-2)</w:t>
            </w:r>
          </w:p>
        </w:tc>
      </w:tr>
    </w:tbl>
    <w:p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:rsidR="00D93C26" w:rsidRDefault="00D93C26">
      <w:pPr>
        <w:adjustRightInd w:val="0"/>
        <w:jc w:val="center"/>
        <w:rPr>
          <w:sz w:val="24"/>
          <w:szCs w:val="24"/>
        </w:rPr>
      </w:pPr>
    </w:p>
    <w:sectPr w:rsidR="00D93C26">
      <w:headerReference w:type="default" r:id="rId16"/>
      <w:footerReference w:type="default" r:id="rId17"/>
      <w:type w:val="continuous"/>
      <w:pgSz w:w="11905" w:h="16837"/>
      <w:pgMar w:top="567" w:right="567" w:bottom="567" w:left="567" w:header="927" w:footer="56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93C26" w:rsidRDefault="00D93C26">
      <w:r>
        <w:separator/>
      </w:r>
    </w:p>
  </w:endnote>
  <w:endnote w:type="continuationSeparator" w:id="0">
    <w:p w:rsidR="00D93C26" w:rsidRDefault="00D93C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000000">
    <w:r>
      <w:rPr>
        <w:sz w:val="24"/>
        <w:szCs w:val="24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000000">
    <w:r>
      <w:rPr>
        <w:sz w:val="24"/>
        <w:szCs w:val="24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000000">
    <w:r>
      <w:rPr>
        <w:sz w:val="24"/>
        <w:szCs w:val="24"/>
      </w:rPr>
      <w:t xml:space="preserve"> 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000000">
    <w:r>
      <w:rPr>
        <w:sz w:val="24"/>
        <w:szCs w:val="24"/>
      </w:rPr>
      <w:t xml:space="preserve"> 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000000">
    <w:r>
      <w:rPr>
        <w:sz w:val="24"/>
        <w:szCs w:val="24"/>
      </w:rPr>
      <w:t xml:space="preserve"> 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000000">
    <w:r>
      <w:rPr>
        <w:sz w:val="24"/>
        <w:szCs w:val="24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93C26" w:rsidRDefault="00D93C26">
      <w:r>
        <w:separator/>
      </w:r>
    </w:p>
  </w:footnote>
  <w:footnote w:type="continuationSeparator" w:id="0">
    <w:p w:rsidR="00D93C26" w:rsidRDefault="00D93C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000000">
    <w:pPr>
      <w:framePr w:wrap="auto" w:hAnchor="margin" w:xAlign="right" w:y="1"/>
      <w:adjustRightInd w:val="0"/>
      <w:jc w:val="right"/>
      <w:rPr>
        <w:rFonts w:ascii="Arial" w:hAnsi="Arial" w:cs="Arial"/>
        <w:b/>
        <w:bCs/>
        <w:color w:val="000000"/>
        <w:sz w:val="16"/>
        <w:szCs w:val="16"/>
      </w:rPr>
    </w:pPr>
    <w:r>
      <w:rPr>
        <w:rFonts w:ascii="Arial" w:hAnsi="Arial" w:cs="Arial"/>
        <w:b/>
        <w:bCs/>
        <w:color w:val="000000"/>
        <w:sz w:val="16"/>
        <w:szCs w:val="16"/>
      </w:rPr>
      <w:fldChar w:fldCharType="begin"/>
    </w:r>
    <w:r>
      <w:rPr>
        <w:rFonts w:ascii="Arial" w:hAnsi="Arial" w:cs="Arial"/>
        <w:b/>
        <w:bCs/>
        <w:color w:val="000000"/>
        <w:sz w:val="16"/>
        <w:szCs w:val="16"/>
      </w:rPr>
      <w:instrText xml:space="preserve"> PAGE </w:instrText>
    </w:r>
    <w:r w:rsidR="00C7481F">
      <w:rPr>
        <w:rFonts w:ascii="Arial" w:hAnsi="Arial" w:cs="Arial"/>
        <w:b/>
        <w:bCs/>
        <w:color w:val="000000"/>
        <w:sz w:val="16"/>
        <w:szCs w:val="16"/>
      </w:rPr>
      <w:fldChar w:fldCharType="separate"/>
    </w:r>
    <w:r w:rsidR="00C7481F">
      <w:rPr>
        <w:rFonts w:ascii="Arial" w:hAnsi="Arial" w:cs="Arial"/>
        <w:b/>
        <w:bCs/>
        <w:noProof/>
        <w:color w:val="000000"/>
        <w:sz w:val="16"/>
        <w:szCs w:val="16"/>
      </w:rPr>
      <w:t>1</w:t>
    </w:r>
    <w:r>
      <w:rPr>
        <w:rFonts w:ascii="Arial" w:hAnsi="Arial" w:cs="Arial"/>
        <w:b/>
        <w:bCs/>
        <w:color w:val="000000"/>
        <w:sz w:val="16"/>
        <w:szCs w:val="16"/>
      </w:rPr>
      <w:fldChar w:fldCharType="end"/>
    </w:r>
  </w:p>
  <w:p w:rsidR="00000000" w:rsidRDefault="00000000">
    <w:r>
      <w:rPr>
        <w:rFonts w:ascii="Arial" w:hAnsi="Arial" w:cs="Arial"/>
        <w:b/>
        <w:bCs/>
        <w:color w:val="000000"/>
        <w:sz w:val="16"/>
        <w:szCs w:val="16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000000">
    <w:pPr>
      <w:framePr w:wrap="auto" w:hAnchor="margin" w:xAlign="right" w:y="1"/>
      <w:adjustRightInd w:val="0"/>
      <w:jc w:val="right"/>
      <w:rPr>
        <w:rFonts w:ascii="Arial" w:hAnsi="Arial" w:cs="Arial"/>
        <w:b/>
        <w:bCs/>
        <w:color w:val="000000"/>
        <w:sz w:val="16"/>
        <w:szCs w:val="16"/>
      </w:rPr>
    </w:pPr>
    <w:r>
      <w:rPr>
        <w:rFonts w:ascii="Arial" w:hAnsi="Arial" w:cs="Arial"/>
        <w:b/>
        <w:bCs/>
        <w:color w:val="000000"/>
        <w:sz w:val="16"/>
        <w:szCs w:val="16"/>
      </w:rPr>
      <w:fldChar w:fldCharType="begin"/>
    </w:r>
    <w:r>
      <w:rPr>
        <w:rFonts w:ascii="Arial" w:hAnsi="Arial" w:cs="Arial"/>
        <w:b/>
        <w:bCs/>
        <w:color w:val="000000"/>
        <w:sz w:val="16"/>
        <w:szCs w:val="16"/>
      </w:rPr>
      <w:instrText xml:space="preserve"> PAGE </w:instrText>
    </w:r>
    <w:r w:rsidR="00C7481F">
      <w:rPr>
        <w:rFonts w:ascii="Arial" w:hAnsi="Arial" w:cs="Arial"/>
        <w:b/>
        <w:bCs/>
        <w:color w:val="000000"/>
        <w:sz w:val="16"/>
        <w:szCs w:val="16"/>
      </w:rPr>
      <w:fldChar w:fldCharType="separate"/>
    </w:r>
    <w:r w:rsidR="00C7481F">
      <w:rPr>
        <w:rFonts w:ascii="Arial" w:hAnsi="Arial" w:cs="Arial"/>
        <w:b/>
        <w:bCs/>
        <w:noProof/>
        <w:color w:val="000000"/>
        <w:sz w:val="16"/>
        <w:szCs w:val="16"/>
      </w:rPr>
      <w:t>3</w:t>
    </w:r>
    <w:r>
      <w:rPr>
        <w:rFonts w:ascii="Arial" w:hAnsi="Arial" w:cs="Arial"/>
        <w:b/>
        <w:bCs/>
        <w:color w:val="000000"/>
        <w:sz w:val="16"/>
        <w:szCs w:val="16"/>
      </w:rPr>
      <w:fldChar w:fldCharType="end"/>
    </w:r>
  </w:p>
  <w:p w:rsidR="00000000" w:rsidRDefault="00000000">
    <w:r>
      <w:rPr>
        <w:rFonts w:ascii="Arial" w:hAnsi="Arial" w:cs="Arial"/>
        <w:b/>
        <w:bCs/>
        <w:color w:val="000000"/>
        <w:sz w:val="16"/>
        <w:szCs w:val="16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000000">
    <w:pPr>
      <w:framePr w:wrap="auto" w:hAnchor="margin" w:xAlign="right" w:y="1"/>
      <w:adjustRightInd w:val="0"/>
      <w:jc w:val="right"/>
      <w:rPr>
        <w:rFonts w:ascii="Arial" w:hAnsi="Arial" w:cs="Arial"/>
        <w:b/>
        <w:bCs/>
        <w:color w:val="000000"/>
        <w:sz w:val="16"/>
        <w:szCs w:val="16"/>
      </w:rPr>
    </w:pPr>
    <w:r>
      <w:rPr>
        <w:rFonts w:ascii="Arial" w:hAnsi="Arial" w:cs="Arial"/>
        <w:b/>
        <w:bCs/>
        <w:color w:val="000000"/>
        <w:sz w:val="16"/>
        <w:szCs w:val="16"/>
      </w:rPr>
      <w:fldChar w:fldCharType="begin"/>
    </w:r>
    <w:r>
      <w:rPr>
        <w:rFonts w:ascii="Arial" w:hAnsi="Arial" w:cs="Arial"/>
        <w:b/>
        <w:bCs/>
        <w:color w:val="000000"/>
        <w:sz w:val="16"/>
        <w:szCs w:val="16"/>
      </w:rPr>
      <w:instrText xml:space="preserve"> PAGE </w:instrText>
    </w:r>
    <w:r>
      <w:rPr>
        <w:rFonts w:ascii="Arial" w:hAnsi="Arial" w:cs="Arial"/>
        <w:b/>
        <w:bCs/>
        <w:color w:val="000000"/>
        <w:sz w:val="16"/>
        <w:szCs w:val="16"/>
      </w:rPr>
      <w:fldChar w:fldCharType="end"/>
    </w:r>
  </w:p>
  <w:p w:rsidR="00000000" w:rsidRDefault="00000000">
    <w:r>
      <w:rPr>
        <w:rFonts w:ascii="Arial" w:hAnsi="Arial" w:cs="Arial"/>
        <w:b/>
        <w:bCs/>
        <w:color w:val="000000"/>
        <w:sz w:val="16"/>
        <w:szCs w:val="16"/>
      </w:rPr>
      <w:t xml:space="preserve"> 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000000">
    <w:pPr>
      <w:framePr w:wrap="auto" w:hAnchor="margin" w:xAlign="right" w:y="1"/>
      <w:adjustRightInd w:val="0"/>
      <w:jc w:val="right"/>
      <w:rPr>
        <w:rFonts w:ascii="Arial" w:hAnsi="Arial" w:cs="Arial"/>
        <w:b/>
        <w:bCs/>
        <w:color w:val="000000"/>
        <w:sz w:val="16"/>
        <w:szCs w:val="16"/>
      </w:rPr>
    </w:pPr>
    <w:r>
      <w:rPr>
        <w:rFonts w:ascii="Arial" w:hAnsi="Arial" w:cs="Arial"/>
        <w:b/>
        <w:bCs/>
        <w:color w:val="000000"/>
        <w:sz w:val="16"/>
        <w:szCs w:val="16"/>
      </w:rPr>
      <w:fldChar w:fldCharType="begin"/>
    </w:r>
    <w:r>
      <w:rPr>
        <w:rFonts w:ascii="Arial" w:hAnsi="Arial" w:cs="Arial"/>
        <w:b/>
        <w:bCs/>
        <w:color w:val="000000"/>
        <w:sz w:val="16"/>
        <w:szCs w:val="16"/>
      </w:rPr>
      <w:instrText xml:space="preserve"> PAGE </w:instrText>
    </w:r>
    <w:r w:rsidR="00C7481F">
      <w:rPr>
        <w:rFonts w:ascii="Arial" w:hAnsi="Arial" w:cs="Arial"/>
        <w:b/>
        <w:bCs/>
        <w:color w:val="000000"/>
        <w:sz w:val="16"/>
        <w:szCs w:val="16"/>
      </w:rPr>
      <w:fldChar w:fldCharType="separate"/>
    </w:r>
    <w:r w:rsidR="00C7481F">
      <w:rPr>
        <w:rFonts w:ascii="Arial" w:hAnsi="Arial" w:cs="Arial"/>
        <w:b/>
        <w:bCs/>
        <w:noProof/>
        <w:color w:val="000000"/>
        <w:sz w:val="16"/>
        <w:szCs w:val="16"/>
      </w:rPr>
      <w:t>4</w:t>
    </w:r>
    <w:r>
      <w:rPr>
        <w:rFonts w:ascii="Arial" w:hAnsi="Arial" w:cs="Arial"/>
        <w:b/>
        <w:bCs/>
        <w:color w:val="000000"/>
        <w:sz w:val="16"/>
        <w:szCs w:val="16"/>
      </w:rPr>
      <w:fldChar w:fldCharType="end"/>
    </w:r>
  </w:p>
  <w:p w:rsidR="00000000" w:rsidRDefault="00000000">
    <w:r>
      <w:rPr>
        <w:rFonts w:ascii="Arial" w:hAnsi="Arial" w:cs="Arial"/>
        <w:b/>
        <w:bCs/>
        <w:color w:val="000000"/>
        <w:sz w:val="16"/>
        <w:szCs w:val="16"/>
      </w:rPr>
      <w:t xml:space="preserve">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000000">
    <w:pPr>
      <w:framePr w:wrap="auto" w:hAnchor="margin" w:xAlign="right" w:y="1"/>
      <w:adjustRightInd w:val="0"/>
      <w:jc w:val="right"/>
      <w:rPr>
        <w:rFonts w:ascii="Arial" w:hAnsi="Arial" w:cs="Arial"/>
        <w:b/>
        <w:bCs/>
        <w:color w:val="000000"/>
        <w:sz w:val="16"/>
        <w:szCs w:val="16"/>
      </w:rPr>
    </w:pPr>
    <w:r>
      <w:rPr>
        <w:rFonts w:ascii="Arial" w:hAnsi="Arial" w:cs="Arial"/>
        <w:b/>
        <w:bCs/>
        <w:color w:val="000000"/>
        <w:sz w:val="16"/>
        <w:szCs w:val="16"/>
      </w:rPr>
      <w:fldChar w:fldCharType="begin"/>
    </w:r>
    <w:r>
      <w:rPr>
        <w:rFonts w:ascii="Arial" w:hAnsi="Arial" w:cs="Arial"/>
        <w:b/>
        <w:bCs/>
        <w:color w:val="000000"/>
        <w:sz w:val="16"/>
        <w:szCs w:val="16"/>
      </w:rPr>
      <w:instrText xml:space="preserve"> PAGE </w:instrText>
    </w:r>
    <w:r w:rsidR="00C7481F">
      <w:rPr>
        <w:rFonts w:ascii="Arial" w:hAnsi="Arial" w:cs="Arial"/>
        <w:b/>
        <w:bCs/>
        <w:color w:val="000000"/>
        <w:sz w:val="16"/>
        <w:szCs w:val="16"/>
      </w:rPr>
      <w:fldChar w:fldCharType="separate"/>
    </w:r>
    <w:r w:rsidR="00C7481F">
      <w:rPr>
        <w:rFonts w:ascii="Arial" w:hAnsi="Arial" w:cs="Arial"/>
        <w:b/>
        <w:bCs/>
        <w:noProof/>
        <w:color w:val="000000"/>
        <w:sz w:val="16"/>
        <w:szCs w:val="16"/>
      </w:rPr>
      <w:t>5</w:t>
    </w:r>
    <w:r>
      <w:rPr>
        <w:rFonts w:ascii="Arial" w:hAnsi="Arial" w:cs="Arial"/>
        <w:b/>
        <w:bCs/>
        <w:color w:val="000000"/>
        <w:sz w:val="16"/>
        <w:szCs w:val="16"/>
      </w:rPr>
      <w:fldChar w:fldCharType="end"/>
    </w:r>
  </w:p>
  <w:p w:rsidR="00000000" w:rsidRDefault="00000000">
    <w:r>
      <w:rPr>
        <w:rFonts w:ascii="Arial" w:hAnsi="Arial" w:cs="Arial"/>
        <w:b/>
        <w:bCs/>
        <w:color w:val="000000"/>
        <w:sz w:val="16"/>
        <w:szCs w:val="16"/>
      </w:rPr>
      <w:t xml:space="preserve">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000000">
    <w:pPr>
      <w:framePr w:wrap="auto" w:hAnchor="margin" w:xAlign="right" w:y="1"/>
      <w:adjustRightInd w:val="0"/>
      <w:jc w:val="right"/>
      <w:rPr>
        <w:rFonts w:ascii="Arial" w:hAnsi="Arial" w:cs="Arial"/>
        <w:b/>
        <w:bCs/>
        <w:color w:val="000000"/>
        <w:sz w:val="16"/>
        <w:szCs w:val="16"/>
      </w:rPr>
    </w:pPr>
    <w:r>
      <w:rPr>
        <w:rFonts w:ascii="Arial" w:hAnsi="Arial" w:cs="Arial"/>
        <w:b/>
        <w:bCs/>
        <w:color w:val="000000"/>
        <w:sz w:val="16"/>
        <w:szCs w:val="16"/>
      </w:rPr>
      <w:fldChar w:fldCharType="begin"/>
    </w:r>
    <w:r>
      <w:rPr>
        <w:rFonts w:ascii="Arial" w:hAnsi="Arial" w:cs="Arial"/>
        <w:b/>
        <w:bCs/>
        <w:color w:val="000000"/>
        <w:sz w:val="16"/>
        <w:szCs w:val="16"/>
      </w:rPr>
      <w:instrText xml:space="preserve"> PAGE </w:instrText>
    </w:r>
    <w:r>
      <w:rPr>
        <w:rFonts w:ascii="Arial" w:hAnsi="Arial" w:cs="Arial"/>
        <w:b/>
        <w:bCs/>
        <w:color w:val="000000"/>
        <w:sz w:val="16"/>
        <w:szCs w:val="16"/>
      </w:rPr>
      <w:fldChar w:fldCharType="end"/>
    </w:r>
  </w:p>
  <w:p w:rsidR="00000000" w:rsidRDefault="00000000">
    <w:r>
      <w:rPr>
        <w:rFonts w:ascii="Arial" w:hAnsi="Arial" w:cs="Arial"/>
        <w:b/>
        <w:bCs/>
        <w:color w:val="000000"/>
        <w:sz w:val="16"/>
        <w:szCs w:val="16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doNotTrackMoves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7481F"/>
    <w:rsid w:val="00C7481F"/>
    <w:rsid w:val="00D93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37DF02A7-10B8-4ED9-B53A-C52DF4B76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autoSpaceDE w:val="0"/>
      <w:autoSpaceDN w:val="0"/>
    </w:pPr>
    <w:rPr>
      <w:rFonts w:ascii="Times New Roman" w:hAnsi="Times New Roman"/>
    </w:rPr>
  </w:style>
  <w:style w:type="character" w:default="1" w:styleId="Policepardfaut">
    <w:name w:val="Default Paragraph Font"/>
    <w:uiPriority w:val="99"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oter" Target="footer4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header" Target="header4.xml"/><Relationship Id="rId17" Type="http://schemas.openxmlformats.org/officeDocument/2006/relationships/footer" Target="footer6.xml"/><Relationship Id="rId2" Type="http://schemas.openxmlformats.org/officeDocument/2006/relationships/settings" Target="settings.xml"/><Relationship Id="rId16" Type="http://schemas.openxmlformats.org/officeDocument/2006/relationships/header" Target="header6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footer" Target="footer5.xml"/><Relationship Id="rId10" Type="http://schemas.openxmlformats.org/officeDocument/2006/relationships/header" Target="header3.xml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503</Words>
  <Characters>2767</Characters>
  <Application>Microsoft Office Word</Application>
  <DocSecurity>0</DocSecurity>
  <Lines>23</Lines>
  <Paragraphs>6</Paragraphs>
  <ScaleCrop>false</ScaleCrop>
  <Company/>
  <LinksUpToDate>false</LinksUpToDate>
  <CharactersWithSpaces>3264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Sortie du Système SAS, Version 9.4</dc:title>
  <dc:subject/>
  <dc:creator>Version SAS 9.4</dc:creator>
  <cp:keywords/>
  <dc:description/>
  <cp:lastModifiedBy>Daya SYLLA</cp:lastModifiedBy>
  <cp:revision>2</cp:revision>
  <dcterms:created xsi:type="dcterms:W3CDTF">2024-05-07T22:44:00Z</dcterms:created>
  <dcterms:modified xsi:type="dcterms:W3CDTF">2024-05-07T22:44:00Z</dcterms:modified>
</cp:coreProperties>
</file>