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F6E56"/>
          <w:sz w:val="72"/>
          <w:szCs w:val="72"/>
        </w:rPr>
        <w:t xml:space="preserve">SunuPaie</w:t>
      </w:r>
    </w:p>
    <w:p>
      <w:pPr>
        <w:spacing w:after="400"/>
        <w:jc w:val="center"/>
      </w:pPr>
      <w:r>
        <w:rPr>
          <w:rFonts w:ascii="Arial" w:cs="Arial" w:eastAsia="Arial" w:hAnsi="Arial"/>
          <w:color w:val="555555"/>
          <w:sz w:val="36"/>
          <w:szCs w:val="36"/>
        </w:rPr>
        <w:t xml:space="preserve">Audit &amp; Revue Globale du Système</w:t>
      </w:r>
    </w:p>
    <w:p>
      <w:pPr>
        <w:spacing w:after="100"/>
        <w:jc w:val="center"/>
      </w:pPr>
      <w:r>
        <w:rPr>
          <w:rFonts w:ascii="Arial" w:cs="Arial" w:eastAsia="Arial" w:hAnsi="Arial"/>
          <w:color w:val="777777"/>
          <w:sz w:val="24"/>
          <w:szCs w:val="24"/>
        </w:rPr>
        <w:t xml:space="preserve">Comparaison avec les standards RH/Paie</w:t>
      </w:r>
    </w:p>
    <w:p>
      <w:pPr>
        <w:spacing w:after="100"/>
        <w:jc w:val="center"/>
      </w:pPr>
      <w:r>
        <w:rPr>
          <w:rFonts w:ascii="Arial" w:cs="Arial" w:eastAsia="Arial" w:hAnsi="Arial"/>
          <w:color w:val="777777"/>
          <w:sz w:val="24"/>
          <w:szCs w:val="24"/>
        </w:rPr>
        <w:t xml:space="preserve">Identification des manques et bugs potentiels</w:t>
      </w:r>
    </w:p>
    <w:p>
      <w:pPr>
        <w:spacing w:before="600"/>
      </w:pPr>
    </w:p>
    <w:p>
      <w:pPr>
        <w:jc w:val="center"/>
      </w:pPr>
      <w:r>
        <w:rPr>
          <w:rFonts w:ascii="Arial" w:cs="Arial" w:eastAsia="Arial" w:hAnsi="Arial"/>
          <w:color w:val="0F6E56"/>
          <w:sz w:val="28"/>
          <w:szCs w:val="28"/>
        </w:rPr>
        <w:t xml:space="preserve">Avril 2026</w:t>
      </w:r>
    </w:p>
    <w:p>
      <w:r>
        <w:br w:type="page"/>
      </w:r>
    </w:p>
    <w:p>
      <w:pPr>
        <w:pStyle w:val="Heading1"/>
        <w:spacing w:after="150" w:before="300"/>
      </w:pPr>
      <w:r>
        <w:rPr>
          <w:b/>
          <w:bCs/>
        </w:rPr>
        <w:t xml:space="preserve">1. Synthèse de l’audit</w:t>
      </w:r>
    </w:p>
    <w:p>
      <w:pPr>
        <w:spacing w:after="120"/>
      </w:pPr>
      <w:r>
        <w:rPr>
          <w:rFonts w:ascii="Arial" w:cs="Arial" w:eastAsia="Arial" w:hAnsi="Arial"/>
          <w:sz w:val="22"/>
          <w:szCs w:val="22"/>
        </w:rPr>
        <w:t xml:space="preserve">Cet audit couvre l’ensemble du système SunuPaie : 82 objets métier, 74 contrôleurs, 35 services, ainsi que les modules Paie, RH, Espace salarié, Comptabilité et Déclarations. L’analyse compare SunuPaie aux fonctionnalités standard d’un SIRH de taille moyenne adapté au contexte sénégalais.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none" w:sz="0"/>
              <w:left w:val="none" w:sz="0"/>
              <w:bottom w:val="none" w:sz="0"/>
              <w:right w:val="none" w:sz="0"/>
            </w:tcBorders>
            <w:shd w:fill="E8F5E9" w:val="clear"/>
            <w:tcMar>
              <w:top w:type="dxa" w:w="80"/>
              <w:left w:type="dxa" w:w="120"/>
              <w:bottom w:type="dxa" w:w="80"/>
              <w:right w:type="dxa" w:w="120"/>
            </w:tcMar>
          </w:tcPr>
          <w:p>
            <w:pPr>
              <w:spacing w:after="60"/>
            </w:pPr>
            <w:r>
              <w:rPr>
                <w:rFonts w:ascii="Arial" w:cs="Arial" w:eastAsia="Arial" w:hAnsi="Arial"/>
                <w:b/>
                <w:bCs/>
                <w:color w:val="2E7D32"/>
                <w:sz w:val="24"/>
                <w:szCs w:val="24"/>
              </w:rPr>
              <w:t xml:space="preserve">Points forts</w:t>
            </w:r>
          </w:p>
          <w:p>
            <w:pPr>
              <w:pStyle w:val="ListParagraph"/>
              <w:numPr>
                <w:ilvl w:val="0"/>
                <w:numId w:val="2"/>
              </w:numPr>
              <w:spacing w:after="60"/>
            </w:pPr>
            <w:r>
              <w:rPr>
                <w:rFonts w:ascii="Arial" w:cs="Arial" w:eastAsia="Arial" w:hAnsi="Arial"/>
                <w:sz w:val="22"/>
                <w:szCs w:val="22"/>
              </w:rPr>
              <w:t xml:space="preserve">Moteur de paie sénégalais complet (IPRES, CSS, IR, TRIMF, CFCE)</w:t>
            </w:r>
          </w:p>
          <w:p>
            <w:pPr>
              <w:pStyle w:val="ListParagraph"/>
              <w:numPr>
                <w:ilvl w:val="0"/>
                <w:numId w:val="2"/>
              </w:numPr>
              <w:spacing w:after="60"/>
            </w:pPr>
            <w:r>
              <w:rPr>
                <w:rFonts w:ascii="Arial" w:cs="Arial" w:eastAsia="Arial" w:hAnsi="Arial"/>
                <w:sz w:val="22"/>
                <w:szCs w:val="22"/>
              </w:rPr>
              <w:t xml:space="preserve">Circuit de validation multi-niveaux (N+1 → N+2 → RH)</w:t>
            </w:r>
          </w:p>
          <w:p>
            <w:pPr>
              <w:pStyle w:val="ListParagraph"/>
              <w:numPr>
                <w:ilvl w:val="0"/>
                <w:numId w:val="2"/>
              </w:numPr>
              <w:spacing w:after="60"/>
            </w:pPr>
            <w:r>
              <w:rPr>
                <w:rFonts w:ascii="Arial" w:cs="Arial" w:eastAsia="Arial" w:hAnsi="Arial"/>
                <w:sz w:val="22"/>
                <w:szCs w:val="22"/>
              </w:rPr>
              <w:t xml:space="preserve">Espace salarié self-service riche</w:t>
            </w:r>
          </w:p>
          <w:p>
            <w:pPr>
              <w:pStyle w:val="ListParagraph"/>
              <w:numPr>
                <w:ilvl w:val="0"/>
                <w:numId w:val="2"/>
              </w:numPr>
              <w:spacing w:after="60"/>
            </w:pPr>
            <w:r>
              <w:rPr>
                <w:rFonts w:ascii="Arial" w:cs="Arial" w:eastAsia="Arial" w:hAnsi="Arial"/>
                <w:sz w:val="22"/>
                <w:szCs w:val="22"/>
              </w:rPr>
              <w:t xml:space="preserve">Module intérimaires unique et bien conçu</w:t>
            </w:r>
          </w:p>
          <w:p>
            <w:pPr>
              <w:pStyle w:val="ListParagraph"/>
              <w:numPr>
                <w:ilvl w:val="0"/>
                <w:numId w:val="2"/>
              </w:numPr>
              <w:spacing w:after="60"/>
            </w:pPr>
            <w:r>
              <w:rPr>
                <w:rFonts w:ascii="Arial" w:cs="Arial" w:eastAsia="Arial" w:hAnsi="Arial"/>
                <w:sz w:val="22"/>
                <w:szCs w:val="22"/>
              </w:rPr>
              <w:t xml:space="preserve">Génération documentaire (contrats, attestations, ordres de mission)</w:t>
            </w:r>
          </w:p>
          <w:p>
            <w:pPr>
              <w:pStyle w:val="ListParagraph"/>
              <w:numPr>
                <w:ilvl w:val="0"/>
                <w:numId w:val="2"/>
              </w:numPr>
              <w:spacing w:after="60"/>
            </w:pPr>
            <w:r>
              <w:rPr>
                <w:rFonts w:ascii="Arial" w:cs="Arial" w:eastAsia="Arial" w:hAnsi="Arial"/>
                <w:sz w:val="22"/>
                <w:szCs w:val="22"/>
              </w:rPr>
              <w:t xml:space="preserve">Système de prêts avec amortissement intégré</w:t>
            </w:r>
          </w:p>
        </w:tc>
        <w:tc>
          <w:tcPr>
            <w:tcW w:type="dxa" w:w="4853"/>
            <w:tcBorders>
              <w:top w:val="none" w:sz="0"/>
              <w:left w:val="none" w:sz="0"/>
              <w:bottom w:val="none" w:sz="0"/>
              <w:right w:val="none" w:sz="0"/>
            </w:tcBorders>
            <w:shd w:fill="FCE4EC" w:val="clear"/>
            <w:tcMar>
              <w:top w:type="dxa" w:w="80"/>
              <w:left w:type="dxa" w:w="120"/>
              <w:bottom w:type="dxa" w:w="80"/>
              <w:right w:type="dxa" w:w="120"/>
            </w:tcMar>
          </w:tcPr>
          <w:p>
            <w:pPr>
              <w:spacing w:after="60"/>
            </w:pPr>
            <w:r>
              <w:rPr>
                <w:rFonts w:ascii="Arial" w:cs="Arial" w:eastAsia="Arial" w:hAnsi="Arial"/>
                <w:b/>
                <w:bCs/>
                <w:color w:val="C62828"/>
                <w:sz w:val="24"/>
                <w:szCs w:val="24"/>
              </w:rPr>
              <w:t xml:space="preserve">Points à améliorer</w:t>
            </w:r>
          </w:p>
          <w:p>
            <w:pPr>
              <w:pStyle w:val="ListParagraph"/>
              <w:numPr>
                <w:ilvl w:val="0"/>
                <w:numId w:val="2"/>
              </w:numPr>
              <w:spacing w:after="60"/>
            </w:pPr>
            <w:r>
              <w:rPr>
                <w:rFonts w:ascii="Arial" w:cs="Arial" w:eastAsia="Arial" w:hAnsi="Arial"/>
                <w:sz w:val="22"/>
                <w:szCs w:val="22"/>
              </w:rPr>
              <w:t xml:space="preserve">Pas de gestion des heures supplémentaires</w:t>
            </w:r>
          </w:p>
          <w:p>
            <w:pPr>
              <w:pStyle w:val="ListParagraph"/>
              <w:numPr>
                <w:ilvl w:val="0"/>
                <w:numId w:val="2"/>
              </w:numPr>
              <w:spacing w:after="60"/>
            </w:pPr>
            <w:r>
              <w:rPr>
                <w:rFonts w:ascii="Arial" w:cs="Arial" w:eastAsia="Arial" w:hAnsi="Arial"/>
                <w:sz w:val="22"/>
                <w:szCs w:val="22"/>
              </w:rPr>
              <w:t xml:space="preserve">Pas de déclarations sociales CSS/IPRES mensuelles</w:t>
            </w:r>
          </w:p>
          <w:p>
            <w:pPr>
              <w:pStyle w:val="ListParagraph"/>
              <w:numPr>
                <w:ilvl w:val="0"/>
                <w:numId w:val="2"/>
              </w:numPr>
              <w:spacing w:after="60"/>
            </w:pPr>
            <w:r>
              <w:rPr>
                <w:rFonts w:ascii="Arial" w:cs="Arial" w:eastAsia="Arial" w:hAnsi="Arial"/>
                <w:sz w:val="22"/>
                <w:szCs w:val="22"/>
              </w:rPr>
              <w:t xml:space="preserve">Audit trail / journal de modifications limité</w:t>
            </w:r>
          </w:p>
          <w:p>
            <w:pPr>
              <w:pStyle w:val="ListParagraph"/>
              <w:numPr>
                <w:ilvl w:val="0"/>
                <w:numId w:val="2"/>
              </w:numPr>
              <w:spacing w:after="60"/>
            </w:pPr>
            <w:r>
              <w:rPr>
                <w:rFonts w:ascii="Arial" w:cs="Arial" w:eastAsia="Arial" w:hAnsi="Arial"/>
                <w:sz w:val="22"/>
                <w:szCs w:val="22"/>
              </w:rPr>
              <w:t xml:space="preserve">Pas de module disciplinaire formel</w:t>
            </w:r>
          </w:p>
          <w:p>
            <w:pPr>
              <w:pStyle w:val="ListParagraph"/>
              <w:numPr>
                <w:ilvl w:val="0"/>
                <w:numId w:val="2"/>
              </w:numPr>
              <w:spacing w:after="60"/>
            </w:pPr>
            <w:r>
              <w:rPr>
                <w:rFonts w:ascii="Arial" w:cs="Arial" w:eastAsia="Arial" w:hAnsi="Arial"/>
                <w:sz w:val="22"/>
                <w:szCs w:val="22"/>
              </w:rPr>
              <w:t xml:space="preserve">Pas d’API REST pour intégrations</w:t>
            </w:r>
          </w:p>
          <w:p>
            <w:pPr>
              <w:pStyle w:val="ListParagraph"/>
              <w:numPr>
                <w:ilvl w:val="0"/>
                <w:numId w:val="2"/>
              </w:numPr>
              <w:spacing w:after="60"/>
            </w:pPr>
            <w:r>
              <w:rPr>
                <w:rFonts w:ascii="Arial" w:cs="Arial" w:eastAsia="Arial" w:hAnsi="Arial"/>
                <w:sz w:val="22"/>
                <w:szCs w:val="22"/>
              </w:rPr>
              <w:t xml:space="preserve">Pas d’import en masse (CSV/Excel)</w:t>
            </w:r>
          </w:p>
        </w:tc>
      </w:tr>
    </w:tbl>
    <w:p>
      <w:r>
        <w:br w:type="page"/>
      </w:r>
    </w:p>
    <w:p>
      <w:pPr>
        <w:pStyle w:val="Heading1"/>
        <w:spacing w:after="150" w:before="300"/>
      </w:pPr>
      <w:r>
        <w:rPr>
          <w:b/>
          <w:bCs/>
        </w:rPr>
        <w:t xml:space="preserve">2. Inventaire des modules</w:t>
      </w:r>
    </w:p>
    <w:p>
      <w:pPr>
        <w:spacing w:after="120"/>
      </w:pPr>
      <w:r>
        <w:rPr>
          <w:rFonts w:ascii="Arial" w:cs="Arial" w:eastAsia="Arial" w:hAnsi="Arial"/>
          <w:sz w:val="22"/>
          <w:szCs w:val="22"/>
        </w:rPr>
        <w:t xml:space="preserve">SunuPaie est construit sur DevExpress XAF 25.x / Blazor Server / .NET 8 avec XPO comme ORM. Le système couvre les domaines suivants :</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106"/>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Objets</w:t>
            </w:r>
          </w:p>
        </w:tc>
        <w:tc>
          <w:tcPr>
            <w:tcW w:type="dxa" w:w="610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Paie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Bulletins, périodes, rubriques, modèles, barèmes IR/TRIMF, paramètres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Prêts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Prêts, échéances, types, rubrique de retenue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Congés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Demandes, types, soldes, mouvements, événements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RH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Salariés, conjoints, dossiers, documents, contrats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Évaluations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Campagnes, entretiens, objectifs, critères,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Plans, sessions, inscriptions, suivi, domaines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Déplacements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Demandes, catégories frais, villes, ordres de mission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Intérimaires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Sociétés, postes, demandes, mouvements, alertes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Comptabilité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Écritures, plan comptable, comptes rubriques, exports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Administration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6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rôles, utilisateurs, paramètres</w:t>
            </w:r>
          </w:p>
        </w:tc>
      </w:tr>
    </w:tbl>
    <w:p>
      <w:r>
        <w:br w:type="page"/>
      </w:r>
    </w:p>
    <w:p>
      <w:pPr>
        <w:pStyle w:val="Heading1"/>
        <w:spacing w:after="150" w:before="300"/>
      </w:pPr>
      <w:r>
        <w:rPr>
          <w:b/>
          <w:bCs/>
        </w:rPr>
        <w:t xml:space="preserve">3. Comparaison fonctionnelle détaillée</w:t>
      </w:r>
    </w:p>
    <w:p>
      <w:pPr>
        <w:spacing w:after="120"/>
      </w:pPr>
      <w:r>
        <w:rPr>
          <w:rFonts w:ascii="Arial" w:cs="Arial" w:eastAsia="Arial" w:hAnsi="Arial"/>
          <w:sz w:val="22"/>
          <w:szCs w:val="22"/>
        </w:rPr>
        <w:t xml:space="preserve">Le tableau ci-dessous compare chaque fonctionnalité attendue d’un SIRH sénégalais avec l’état actuel de SunuPaie.</w:t>
      </w:r>
    </w:p>
    <w:p>
      <w:pPr>
        <w:pStyle w:val="Heading2"/>
        <w:spacing w:after="100" w:before="200"/>
      </w:pPr>
      <w:r>
        <w:rPr>
          <w:b/>
          <w:bCs/>
        </w:rPr>
        <w:t xml:space="preserve">3.1 Module Paie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806"/>
      </w:tblGrid>
      <w:tr>
        <w:tc>
          <w:tcPr>
            <w:tcW w:type="dxa" w:w="3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1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80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 cotisations IPRES (RG/RC)</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Salarié + employeur, plafonds respectés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Accident Travail / Alloc. Familiales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Taux paramétrables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 (barème progressif + parts fiscales)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Avec réduction familiale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TRIMF (mensuel barémisé)</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Barème configurable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CFCE (charge patronale)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Taux fixe sur brut fiscal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Prorata jours travaillés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Champ JoursTravailles sur bulletin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Prêts et avances (amortissement)</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Principal constant + annuité constante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Génération PDF bulletins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Envoi email intégré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Déclaration 1024 (DGID)</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Excel annuel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État VRS mensuel</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Excel avec totaux</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Bilan social</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Excel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comptable (écritures)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 plan comptable configurable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Heures supplémentaires</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module dédié HS (majoration 15%, 40%, 60%, 100%)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Prime de rendement / objectifs</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Partiel</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Lignes manuelles uniquement, pas de calcul automatisé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Rappels de salaire</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mécanisme de régularisation rétroactive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Solde de tout compte</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Partiel</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Offboarding existe mais pas de bulletin STC automatique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Déclarations CSS/IPRES mensuelles</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Seuls VRS et 1024 sont générés</w:t>
            </w:r>
          </w:p>
        </w:tc>
      </w:tr>
    </w:tbl>
    <w:p>
      <w:pPr>
        <w:pStyle w:val="Heading2"/>
        <w:spacing w:after="100" w:before="200"/>
      </w:pPr>
      <w:r>
        <w:rPr>
          <w:b/>
          <w:bCs/>
        </w:rPr>
        <w:t xml:space="preserve">3.2 Module RH</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806"/>
      </w:tblGrid>
      <w:tr>
        <w:tc>
          <w:tcPr>
            <w:tcW w:type="dxa" w:w="3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1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80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des congés (demande/validation)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N+1 → N+2 → RH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Soldes de congés et acquisition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Mouvements + calcul automatique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Contrats (CDI/CDD/Stage)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Génération Word depuis modèle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Offboarding</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complet Initié → Clôturé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Évaluations / Entretiens annuels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Campagnes + grille ELTON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Formation (plan, sessions, inscriptions)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Suivi + évaluation à froid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Déplacements / Missions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validation + ordre de mission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Attestations (travail, congé, emploi)</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Génération automatique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Avancements / Promotions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Brouillon → Appliqué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Intérimaires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complet (stations, mouvements, alertes)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Espace salarié (self-service)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Bulletins, congés, attestations, évaluations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disciplinaire</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DossierDisciplinaire formel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Recrutement (postes, candidatures)</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Uniquement intérimaires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Organigramme visuel</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 Manager existe, pas de visualisation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des compétences / GPEC</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référentiel compétences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de frais / Remboursements</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Déplacements existent sans remboursement détaillé</w:t>
            </w:r>
          </w:p>
        </w:tc>
      </w:tr>
    </w:tbl>
    <w:p>
      <w:pPr>
        <w:pStyle w:val="Heading2"/>
        <w:spacing w:after="100" w:before="200"/>
      </w:pPr>
      <w:r>
        <w:rPr>
          <w:b/>
          <w:bCs/>
        </w:rPr>
        <w:t xml:space="preserve">3.3 Technique &amp; Infrastructure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806"/>
      </w:tblGrid>
      <w:tr>
        <w:tc>
          <w:tcPr>
            <w:tcW w:type="dxa" w:w="3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1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80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Sécurité (rôles Admin/RH/Employé)</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XAF Security System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Aide en ligne contextuelle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 HTML par module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 salarié</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Système de notification interne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(SMTP + Microsoft Graph)</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OK</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Envoi bulletins, attestations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Multi-société</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Partiel</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Objet Company existe, filtrage limité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 historique</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Partiel</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CreePar/DateCreation, pas de journal complet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Tableau de bord / KPI</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Partiel</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DevExpress Dashboard référencé, contenu limité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REST</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d’API pour intégrations tierces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Import/Export salariés (CSV/Excel)</w:t>
            </w:r>
          </w:p>
        </w:tc>
        <w:tc>
          <w:tcPr>
            <w:tcW w:type="dxa" w:w="11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Absent</w:t>
            </w:r>
          </w:p>
        </w:tc>
        <w:tc>
          <w:tcPr>
            <w:tcW w:type="dxa" w:w="4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d’import en masse</w:t>
            </w:r>
          </w:p>
        </w:tc>
      </w:tr>
    </w:tbl>
    <w:p>
      <w:r>
        <w:br w:type="page"/>
      </w:r>
    </w:p>
    <w:p>
      <w:pPr>
        <w:pStyle w:val="Heading1"/>
        <w:spacing w:after="150" w:before="300"/>
      </w:pPr>
      <w:r>
        <w:rPr>
          <w:b/>
          <w:bCs/>
        </w:rPr>
        <w:t xml:space="preserve">4. Bugs potentiels et risques identifiés</w:t>
      </w:r>
    </w:p>
    <w:p>
      <w:pPr>
        <w:spacing w:after="120"/>
      </w:pPr>
      <w:r>
        <w:rPr>
          <w:rFonts w:ascii="Arial" w:cs="Arial" w:eastAsia="Arial" w:hAnsi="Arial"/>
          <w:sz w:val="22"/>
          <w:szCs w:val="22"/>
        </w:rPr>
        <w:t xml:space="preserve">Les éléments ci-dessous ne sont pas nécessairement des bugs bloquants, mais des risques techniques ou fonctionnels à surveiller.</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500"/>
        <w:gridCol w:w="4506"/>
      </w:tblGrid>
      <w:tr>
        <w:tc>
          <w:tcPr>
            <w:tcW w:type="dxa" w:w="1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Sévérité</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2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450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Moyenne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Bulletin.cs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verrouillage optimiste</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Deux utilisateurs peuvent recalculer le même bulletin simultanément. Risque de données incohérentes.</w:t>
            </w:r>
          </w:p>
        </w:tc>
      </w:tr>
      <w:tr>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Moyenne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EtatVRSService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Performances sur gros volumes</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 toutes les BulletinLigne en mémoire. Problème potentiel au-delà de 500 salariés.</w:t>
            </w:r>
          </w:p>
        </w:tc>
      </w:tr>
      <w:tr>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Basse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Pret.cs OnLoaded()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RecalculerEtat() à chaque chargement</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Appel systématique même en lecture seule. Impact performances sur listes de prêts.</w:t>
            </w:r>
          </w:p>
        </w:tc>
      </w:tr>
      <w:tr>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Basse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Services divers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 { } vides</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Erreurs silencieuses dans AttestationFormationService, AttestationTemplateService.</w:t>
            </w:r>
          </w:p>
        </w:tc>
      </w:tr>
      <w:tr>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Basse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Salarie.cs L78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 CreePar = SecuritySystem.CurrentUserName; } catch { }</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 vide masque les problèmes d’authentification.</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757575"/>
                <w:sz w:val="18"/>
                <w:szCs w:val="18"/>
              </w:rPr>
              <w:t xml:space="preserve">Info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ParametresPaie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Credentials en base</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Mots de passe SMTP/Graph stockés dans la table sans chiffrement dédié.</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757575"/>
                <w:sz w:val="18"/>
                <w:szCs w:val="18"/>
              </w:rPr>
              <w:t xml:space="preserve">Info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DomainEnums.cs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Typo « SatutMarital »</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Devrait être StatutMarital. Renommage casserait la compatibilité DB.</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757575"/>
                <w:sz w:val="18"/>
                <w:szCs w:val="18"/>
              </w:rPr>
              <w:t xml:space="preserve">Info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BulletinStatut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Statuts jamais utilisés</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 Imprime ne semblent pas utilisés dans le code.</w:t>
            </w:r>
          </w:p>
        </w:tc>
      </w:tr>
    </w:tbl>
    <w:p>
      <w:r>
        <w:br w:type="page"/>
      </w:r>
    </w:p>
    <w:p>
      <w:pPr>
        <w:pStyle w:val="Heading1"/>
        <w:spacing w:after="150" w:before="300"/>
      </w:pPr>
      <w:r>
        <w:rPr>
          <w:b/>
          <w:bCs/>
        </w:rPr>
        <w:t xml:space="preserve">5. Recommandations prioritaires</w:t>
      </w:r>
    </w:p>
    <w:p>
      <w:pPr>
        <w:pStyle w:val="Heading2"/>
      </w:pPr>
      <w:r>
        <w:rPr>
          <w:b/>
          <w:bCs/>
        </w:rPr>
        <w:t xml:space="preserve">5.1 Priorité haute (impact métier direct)</w:t>
      </w:r>
    </w:p>
    <w:p>
      <w:pPr>
        <w:spacing w:after="100"/>
      </w:pPr>
      <w:r>
        <w:rPr>
          <w:rFonts w:ascii="Arial" w:cs="Arial" w:eastAsia="Arial" w:hAnsi="Arial"/>
          <w:b/>
          <w:bCs/>
          <w:sz w:val="22"/>
          <w:szCs w:val="22"/>
        </w:rPr>
        <w:t xml:space="preserve">Heures supplémentaires : </w:t>
      </w:r>
      <w:r>
        <w:rPr>
          <w:rFonts w:ascii="Arial" w:cs="Arial" w:eastAsia="Arial" w:hAnsi="Arial"/>
          <w:sz w:val="22"/>
          <w:szCs w:val="22"/>
        </w:rPr>
        <w:t xml:space="preserve">Créer un objet HeureSupplementaire lié au Bulletin avec les taux légaux sénégalais (15% jour ouvrable, 40% nuit, 60% dimanche/férié, 100% nuit dimanche). Intégrer le calcul dans RecalculerCotisationsEtTotaux. C’est la lacune la plus critique pour un système de paie complet.</w:t>
      </w:r>
    </w:p>
    <w:p>
      <w:pPr>
        <w:spacing w:after="100"/>
      </w:pPr>
      <w:r>
        <w:rPr>
          <w:rFonts w:ascii="Arial" w:cs="Arial" w:eastAsia="Arial" w:hAnsi="Arial"/>
          <w:b/>
          <w:bCs/>
          <w:sz w:val="22"/>
          <w:szCs w:val="22"/>
        </w:rPr>
        <w:t xml:space="preserve">Déclarations sociales mensuelles : </w:t>
      </w:r>
      <w:r>
        <w:rPr>
          <w:rFonts w:ascii="Arial" w:cs="Arial" w:eastAsia="Arial" w:hAnsi="Arial"/>
          <w:sz w:val="22"/>
          <w:szCs w:val="22"/>
        </w:rPr>
        <w:t xml:space="preserve">Générer les bordereaux mensuels IPRES et CSS au format attendu par ces organismes. Actuellement seuls le VRS et la 1024 annuelle sont produits.</w:t>
      </w:r>
    </w:p>
    <w:p>
      <w:pPr>
        <w:spacing w:after="100"/>
      </w:pPr>
      <w:r>
        <w:rPr>
          <w:rFonts w:ascii="Arial" w:cs="Arial" w:eastAsia="Arial" w:hAnsi="Arial"/>
          <w:b/>
          <w:bCs/>
          <w:sz w:val="22"/>
          <w:szCs w:val="22"/>
        </w:rPr>
        <w:t xml:space="preserve">Solde de tout compte : </w:t>
      </w:r>
      <w:r>
        <w:rPr>
          <w:rFonts w:ascii="Arial" w:cs="Arial" w:eastAsia="Arial" w:hAnsi="Arial"/>
          <w:sz w:val="22"/>
          <w:szCs w:val="22"/>
        </w:rPr>
        <w:t xml:space="preserve">Automatiser le calcul du STC lors de l’offboarding : indemnité de licenciement, congés non pris, prorata 13e mois, gratification. Le workflow offboarding existe déjà, il faut y intégrer un bulletin STC.</w:t>
      </w:r>
    </w:p>
    <w:p>
      <w:pPr>
        <w:pStyle w:val="Heading2"/>
      </w:pPr>
      <w:r>
        <w:rPr>
          <w:b/>
          <w:bCs/>
        </w:rPr>
        <w:t xml:space="preserve">5.2 Priorité moyenne (qualité &amp; robustesse)</w:t>
      </w:r>
    </w:p>
    <w:p>
      <w:pPr>
        <w:spacing w:after="100"/>
      </w:pPr>
      <w:r>
        <w:rPr>
          <w:rFonts w:ascii="Arial" w:cs="Arial" w:eastAsia="Arial" w:hAnsi="Arial"/>
          <w:b/>
          <w:bCs/>
          <w:sz w:val="22"/>
          <w:szCs w:val="22"/>
        </w:rPr>
        <w:t xml:space="preserve">Verrouillage optimiste : </w:t>
      </w:r>
      <w:r>
        <w:rPr>
          <w:rFonts w:ascii="Arial" w:cs="Arial" w:eastAsia="Arial" w:hAnsi="Arial"/>
          <w:sz w:val="22"/>
          <w:szCs w:val="22"/>
        </w:rPr>
        <w:t xml:space="preserve">Ajouter un contrôle de version (OptimisticLockField XPO) sur Bulletin pour empêcher les modifications concurrentes. Deux RH ne doivent pas pouvoir recalculer le même bulletin en parallèle.</w:t>
      </w:r>
    </w:p>
    <w:p>
      <w:pPr>
        <w:spacing w:after="100"/>
      </w:pPr>
      <w:r>
        <w:rPr>
          <w:rFonts w:ascii="Arial" w:cs="Arial" w:eastAsia="Arial" w:hAnsi="Arial"/>
          <w:b/>
          <w:bCs/>
          <w:sz w:val="22"/>
          <w:szCs w:val="22"/>
        </w:rPr>
        <w:t xml:space="preserve">Journal d’audit : </w:t>
      </w:r>
      <w:r>
        <w:rPr>
          <w:rFonts w:ascii="Arial" w:cs="Arial" w:eastAsia="Arial" w:hAnsi="Arial"/>
          <w:sz w:val="22"/>
          <w:szCs w:val="22"/>
        </w:rPr>
        <w:t xml:space="preserve">Activer le XPO AuditTrail ou créer un journal custom pour tracer toutes les modifications sur les bulletins validés, les changements de salaire, et les clôtures de période. Indispensable pour la conformité.</w:t>
      </w:r>
    </w:p>
    <w:p>
      <w:pPr>
        <w:spacing w:after="100"/>
      </w:pPr>
      <w:r>
        <w:rPr>
          <w:rFonts w:ascii="Arial" w:cs="Arial" w:eastAsia="Arial" w:hAnsi="Arial"/>
          <w:b/>
          <w:bCs/>
          <w:sz w:val="22"/>
          <w:szCs w:val="22"/>
        </w:rPr>
        <w:t xml:space="preserve">Import en masse : </w:t>
      </w:r>
      <w:r>
        <w:rPr>
          <w:rFonts w:ascii="Arial" w:cs="Arial" w:eastAsia="Arial" w:hAnsi="Arial"/>
          <w:sz w:val="22"/>
          <w:szCs w:val="22"/>
        </w:rPr>
        <w:t xml:space="preserve">Permettre l’import de salariés depuis Excel/CSV pour les nouveaux déploiements. Un ImportService avec validation et rapport d’erreurs.</w:t>
      </w:r>
    </w:p>
    <w:p>
      <w:pPr>
        <w:spacing w:after="100"/>
      </w:pPr>
      <w:r>
        <w:rPr>
          <w:rFonts w:ascii="Arial" w:cs="Arial" w:eastAsia="Arial" w:hAnsi="Arial"/>
          <w:b/>
          <w:bCs/>
          <w:sz w:val="22"/>
          <w:szCs w:val="22"/>
        </w:rPr>
        <w:t xml:space="preserve">Gestion disciplinaire : </w:t>
      </w:r>
      <w:r>
        <w:rPr>
          <w:rFonts w:ascii="Arial" w:cs="Arial" w:eastAsia="Arial" w:hAnsi="Arial"/>
          <w:sz w:val="22"/>
          <w:szCs w:val="22"/>
        </w:rPr>
        <w:t xml:space="preserve">Créer un DossierDisciplinaire (type infraction, date, sanction, durée) lié au salarié. Permet de justifier les retenues sur jours non travaillés et de traçabiliser les sanctions.</w:t>
      </w:r>
    </w:p>
    <w:p>
      <w:pPr>
        <w:pStyle w:val="Heading2"/>
      </w:pPr>
      <w:r>
        <w:rPr>
          <w:b/>
          <w:bCs/>
        </w:rPr>
        <w:t xml:space="preserve">5.3 Priorité basse (évolutions futures)</w:t>
      </w:r>
    </w:p>
    <w:p>
      <w:pPr>
        <w:spacing w:after="100"/>
      </w:pPr>
      <w:r>
        <w:rPr>
          <w:rFonts w:ascii="Arial" w:cs="Arial" w:eastAsia="Arial" w:hAnsi="Arial"/>
          <w:b/>
          <w:bCs/>
          <w:sz w:val="22"/>
          <w:szCs w:val="22"/>
        </w:rPr>
        <w:t xml:space="preserve">API REST : </w:t>
      </w:r>
      <w:r>
        <w:rPr>
          <w:rFonts w:ascii="Arial" w:cs="Arial" w:eastAsia="Arial" w:hAnsi="Arial"/>
          <w:sz w:val="22"/>
          <w:szCs w:val="22"/>
        </w:rPr>
        <w:t xml:space="preserve">Exposer une API pour les intégrations avec des outils tiers (comptabilité, pointeuse, banque). XAF Web API est disponible nativement.</w:t>
      </w:r>
    </w:p>
    <w:p>
      <w:pPr>
        <w:spacing w:after="100"/>
      </w:pPr>
      <w:r>
        <w:rPr>
          <w:rFonts w:ascii="Arial" w:cs="Arial" w:eastAsia="Arial" w:hAnsi="Arial"/>
          <w:b/>
          <w:bCs/>
          <w:sz w:val="22"/>
          <w:szCs w:val="22"/>
        </w:rPr>
        <w:t xml:space="preserve">Recrutement : </w:t>
      </w:r>
      <w:r>
        <w:rPr>
          <w:rFonts w:ascii="Arial" w:cs="Arial" w:eastAsia="Arial" w:hAnsi="Arial"/>
          <w:sz w:val="22"/>
          <w:szCs w:val="22"/>
        </w:rPr>
        <w:t xml:space="preserve">Module Postes → Offres → Candidatures → Embauche. Aujourd’hui seul le recrutement d’intérimaires est couvert.</w:t>
      </w:r>
    </w:p>
    <w:p>
      <w:pPr>
        <w:spacing w:after="100"/>
      </w:pPr>
      <w:r>
        <w:rPr>
          <w:rFonts w:ascii="Arial" w:cs="Arial" w:eastAsia="Arial" w:hAnsi="Arial"/>
          <w:b/>
          <w:bCs/>
          <w:sz w:val="22"/>
          <w:szCs w:val="22"/>
        </w:rPr>
        <w:t xml:space="preserve">Organigramme : </w:t>
      </w:r>
      <w:r>
        <w:rPr>
          <w:rFonts w:ascii="Arial" w:cs="Arial" w:eastAsia="Arial" w:hAnsi="Arial"/>
          <w:sz w:val="22"/>
          <w:szCs w:val="22"/>
        </w:rPr>
        <w:t xml:space="preserve">Exploiter la relation Salarie.Manager pour afficher un organigramme interactif. Des composants DevExpress (TreeList, OrgChart) peuvent être utilisés.</w:t>
      </w:r>
    </w:p>
    <w:p>
      <w:pPr>
        <w:spacing w:after="100"/>
      </w:pPr>
      <w:r>
        <w:rPr>
          <w:rFonts w:ascii="Arial" w:cs="Arial" w:eastAsia="Arial" w:hAnsi="Arial"/>
          <w:b/>
          <w:bCs/>
          <w:sz w:val="22"/>
          <w:szCs w:val="22"/>
        </w:rPr>
        <w:t xml:space="preserve">Notes de frais : </w:t>
      </w:r>
      <w:r>
        <w:rPr>
          <w:rFonts w:ascii="Arial" w:cs="Arial" w:eastAsia="Arial" w:hAnsi="Arial"/>
          <w:sz w:val="22"/>
          <w:szCs w:val="22"/>
        </w:rPr>
        <w:t xml:space="preserve">Compléter le module Déplacements avec un suivi des remboursements et pièces justificatives.</w:t>
      </w:r>
    </w:p>
    <w:p>
      <w:pPr>
        <w:spacing w:after="100"/>
      </w:pPr>
      <w:r>
        <w:rPr>
          <w:rFonts w:ascii="Arial" w:cs="Arial" w:eastAsia="Arial" w:hAnsi="Arial"/>
          <w:b/>
          <w:bCs/>
          <w:sz w:val="22"/>
          <w:szCs w:val="22"/>
        </w:rPr>
        <w:t xml:space="preserve">Multi-société complet : </w:t>
      </w:r>
      <w:r>
        <w:rPr>
          <w:rFonts w:ascii="Arial" w:cs="Arial" w:eastAsia="Arial" w:hAnsi="Arial"/>
          <w:sz w:val="22"/>
          <w:szCs w:val="22"/>
        </w:rPr>
        <w:t xml:space="preserve">Filtrer systématiquement les données par Company. Actuellement l’objet existe mais le filtrage n’est pas appliqué partout.</w:t>
      </w:r>
    </w:p>
    <w:p>
      <w:pPr>
        <w:pStyle w:val="Heading1"/>
        <w:spacing w:after="150" w:before="300"/>
      </w:pPr>
      <w:r>
        <w:rPr>
          <w:b/>
          <w:bCs/>
        </w:rPr>
        <w:t xml:space="preserve">6. Corrections rapides recommandées</w:t>
      </w:r>
    </w:p>
    <w:p>
      <w:pPr>
        <w:spacing w:after="120"/>
      </w:pPr>
      <w:r>
        <w:rPr>
          <w:rFonts w:ascii="Arial" w:cs="Arial" w:eastAsia="Arial" w:hAnsi="Arial"/>
          <w:sz w:val="22"/>
          <w:szCs w:val="22"/>
        </w:rPr>
        <w:t xml:space="preserve">Ces corrections peuvent être apportées rapidement sans impact structurel :</w:t>
      </w:r>
    </w:p>
    <w:p>
      <w:pPr>
        <w:pStyle w:val="ListParagraph"/>
        <w:numPr>
          <w:ilvl w:val="0"/>
          <w:numId w:val="3"/>
        </w:numPr>
        <w:spacing w:after="80"/>
      </w:pPr>
      <w:r>
        <w:rPr>
          <w:rFonts w:ascii="Arial" w:cs="Arial" w:eastAsia="Arial" w:hAnsi="Arial"/>
          <w:b/>
          <w:bCs/>
          <w:sz w:val="22"/>
          <w:szCs w:val="22"/>
        </w:rPr>
        <w:t xml:space="preserve">Supprimer les catch { } vides </w:t>
      </w:r>
      <w:r>
        <w:rPr>
          <w:rFonts w:ascii="Arial" w:cs="Arial" w:eastAsia="Arial" w:hAnsi="Arial"/>
          <w:sz w:val="22"/>
          <w:szCs w:val="22"/>
        </w:rPr>
        <w:t xml:space="preserve">dans les services de génération d’attestations. Remplacer par un logging ou un re-throw avec message.</w:t>
      </w:r>
    </w:p>
    <w:p>
      <w:pPr>
        <w:pStyle w:val="ListParagraph"/>
        <w:numPr>
          <w:ilvl w:val="0"/>
          <w:numId w:val="3"/>
        </w:numPr>
        <w:spacing w:after="80"/>
      </w:pPr>
      <w:r>
        <w:rPr>
          <w:rFonts w:ascii="Arial" w:cs="Arial" w:eastAsia="Arial" w:hAnsi="Arial"/>
          <w:b/>
          <w:bCs/>
          <w:sz w:val="22"/>
          <w:szCs w:val="22"/>
        </w:rPr>
        <w:t xml:space="preserve">Pret.OnLoaded() : </w:t>
      </w:r>
      <w:r>
        <w:rPr>
          <w:rFonts w:ascii="Arial" w:cs="Arial" w:eastAsia="Arial" w:hAnsi="Arial"/>
          <w:sz w:val="22"/>
          <w:szCs w:val="22"/>
        </w:rPr>
        <w:t xml:space="preserve">conditionner RecalculerEtat() à un flag « dirty » ou ne l’appeler qu’à l’ouverture en mode édition, pas en lecture seule.</w:t>
      </w:r>
    </w:p>
    <w:p>
      <w:pPr>
        <w:pStyle w:val="ListParagraph"/>
        <w:numPr>
          <w:ilvl w:val="0"/>
          <w:numId w:val="3"/>
        </w:numPr>
        <w:spacing w:after="80"/>
      </w:pPr>
      <w:r>
        <w:rPr>
          <w:rFonts w:ascii="Arial" w:cs="Arial" w:eastAsia="Arial" w:hAnsi="Arial"/>
          <w:b/>
          <w:bCs/>
          <w:sz w:val="22"/>
          <w:szCs w:val="22"/>
        </w:rPr>
        <w:t xml:space="preserve">Nettoyer BulletinStatut : </w:t>
      </w:r>
      <w:r>
        <w:rPr>
          <w:rFonts w:ascii="Arial" w:cs="Arial" w:eastAsia="Arial" w:hAnsi="Arial"/>
          <w:sz w:val="22"/>
          <w:szCs w:val="22"/>
        </w:rPr>
        <w:t xml:space="preserve">marquer Exporte et Imprime comme [Obsolete] s’ils ne sont plus utilisés, ou les retirer de l’énum.</w:t>
      </w:r>
    </w:p>
    <w:p>
      <w:pPr>
        <w:pStyle w:val="ListParagraph"/>
        <w:numPr>
          <w:ilvl w:val="0"/>
          <w:numId w:val="3"/>
        </w:numPr>
        <w:spacing w:after="80"/>
      </w:pPr>
      <w:r>
        <w:rPr>
          <w:rFonts w:ascii="Arial" w:cs="Arial" w:eastAsia="Arial" w:hAnsi="Arial"/>
          <w:b/>
          <w:bCs/>
          <w:sz w:val="22"/>
          <w:szCs w:val="22"/>
        </w:rPr>
        <w:t xml:space="preserve">Sécuriser les credentials : </w:t>
      </w:r>
      <w:r>
        <w:rPr>
          <w:rFonts w:ascii="Arial" w:cs="Arial" w:eastAsia="Arial" w:hAnsi="Arial"/>
          <w:sz w:val="22"/>
          <w:szCs w:val="22"/>
        </w:rPr>
        <w:t xml:space="preserve">déplacer les mots de passe SMTP/Graph de ParametresPaie vers un coffre-fort (Azure Key Vault, DPAPI, ou au minimum chiffrement symétrique).</w:t>
      </w:r>
    </w:p>
    <w:p>
      <w:r>
        <w:br w:type="page"/>
      </w:r>
    </w:p>
    <w:p>
      <w:pPr>
        <w:pStyle w:val="Heading1"/>
        <w:spacing w:after="150" w:before="300"/>
      </w:pPr>
      <w:r>
        <w:rPr>
          <w:b/>
          <w:bCs/>
        </w:rPr>
        <w:t xml:space="preserve">7. Conclusion</w:t>
      </w:r>
    </w:p>
    <w:p>
      <w:pPr>
        <w:spacing w:after="120"/>
      </w:pPr>
      <w:r>
        <w:rPr>
          <w:rFonts w:ascii="Arial" w:cs="Arial" w:eastAsia="Arial" w:hAnsi="Arial"/>
          <w:sz w:val="22"/>
          <w:szCs w:val="22"/>
        </w:rPr>
        <w:t xml:space="preserve">SunuPaie est un système de paie et RH remarquablement complet pour un SIRH sénégalais. Le moteur de calcul couvre l’ensemble des cotisations légales, le système de validation hiérarchique est bien structuré, et les modules annexes (formations, évaluations, intérimaires, déplacements) offrent une couverture fonctionnelle que beaucoup de concurrents n’ont pas.</w:t>
      </w:r>
    </w:p>
    <w:p>
      <w:pPr>
        <w:spacing w:after="120"/>
      </w:pPr>
      <w:r>
        <w:rPr>
          <w:rFonts w:ascii="Arial" w:cs="Arial" w:eastAsia="Arial" w:hAnsi="Arial"/>
          <w:sz w:val="22"/>
          <w:szCs w:val="22"/>
        </w:rPr>
        <w:t xml:space="preserve">Les principales lacunes concernent les heures supplémentaires, les déclarations sociales mensuelles et le solde de tout compte automatisé. Ces trois fonctionnalités sont essentielles pour un système de paie en production et devraient être traitées en priorité.</w:t>
      </w:r>
    </w:p>
    <w:p>
      <w:pPr>
        <w:spacing w:after="120"/>
      </w:pPr>
      <w:r>
        <w:rPr>
          <w:rFonts w:ascii="Arial" w:cs="Arial" w:eastAsia="Arial" w:hAnsi="Arial"/>
          <w:sz w:val="22"/>
          <w:szCs w:val="22"/>
        </w:rPr>
        <w:t xml:space="preserve">Sur le plan technique, l’ajout d’un verrouillage optimiste sur les bulletins et d’un journal d’audit constituent les améliorations les plus importantes pour la fiabilité et la conformité du système.</w:t>
      </w:r>
    </w:p>
    <w:p>
      <w:pPr>
        <w:spacing w:before="30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none" w:sz="0"/>
              <w:left w:val="none" w:sz="0"/>
              <w:bottom w:val="none" w:sz="0"/>
              <w:right w:val="none" w:sz="0"/>
            </w:tcBorders>
            <w:shd w:fill="E8F5E9" w:val="clear"/>
            <w:tcMar>
              <w:top w:type="dxa" w:w="80"/>
              <w:left w:type="dxa" w:w="120"/>
              <w:bottom w:type="dxa" w:w="80"/>
              <w:right w:type="dxa" w:w="120"/>
            </w:tcMar>
          </w:tcPr>
          <w:p>
            <w:pPr>
              <w:spacing w:after="40"/>
              <w:jc w:val="center"/>
            </w:pPr>
            <w:r>
              <w:rPr>
                <w:rFonts w:ascii="Arial" w:cs="Arial" w:eastAsia="Arial" w:hAnsi="Arial"/>
                <w:b/>
                <w:bCs/>
                <w:color w:val="2E7D32"/>
                <w:sz w:val="40"/>
                <w:szCs w:val="40"/>
              </w:rPr>
              <w:t xml:space="preserve">27 / 38</w:t>
            </w:r>
          </w:p>
          <w:p>
            <w:pPr>
              <w:jc w:val="center"/>
            </w:pPr>
            <w:r>
              <w:rPr>
                <w:rFonts w:ascii="Arial" w:cs="Arial" w:eastAsia="Arial" w:hAnsi="Arial"/>
                <w:color w:val="2E7D32"/>
                <w:sz w:val="20"/>
                <w:szCs w:val="20"/>
              </w:rPr>
              <w:t xml:space="preserve">fonctionnalités OK ou partielles</w:t>
            </w:r>
          </w:p>
        </w:tc>
        <w:tc>
          <w:tcPr>
            <w:tcW w:type="dxa" w:w="4853"/>
            <w:tcBorders>
              <w:top w:val="none" w:sz="0"/>
              <w:left w:val="none" w:sz="0"/>
              <w:bottom w:val="none" w:sz="0"/>
              <w:right w:val="none" w:sz="0"/>
            </w:tcBorders>
            <w:shd w:fill="FFF3E0" w:val="clear"/>
            <w:tcMar>
              <w:top w:type="dxa" w:w="80"/>
              <w:left w:type="dxa" w:w="120"/>
              <w:bottom w:type="dxa" w:w="80"/>
              <w:right w:type="dxa" w:w="120"/>
            </w:tcMar>
          </w:tcPr>
          <w:p>
            <w:pPr>
              <w:spacing w:after="40"/>
              <w:jc w:val="center"/>
            </w:pPr>
            <w:r>
              <w:rPr>
                <w:rFonts w:ascii="Arial" w:cs="Arial" w:eastAsia="Arial" w:hAnsi="Arial"/>
                <w:b/>
                <w:bCs/>
                <w:color w:val="E65100"/>
                <w:sz w:val="40"/>
                <w:szCs w:val="40"/>
              </w:rPr>
              <w:t xml:space="preserve">11 / 38</w:t>
            </w:r>
          </w:p>
          <w:p>
            <w:pPr>
              <w:jc w:val="center"/>
            </w:pPr>
            <w:r>
              <w:rPr>
                <w:rFonts w:ascii="Arial" w:cs="Arial" w:eastAsia="Arial" w:hAnsi="Arial"/>
                <w:color w:val="E65100"/>
                <w:sz w:val="20"/>
                <w:szCs w:val="20"/>
              </w:rPr>
              <w:t xml:space="preserve">fonctionnalités absentes</w:t>
            </w:r>
          </w:p>
        </w:tc>
      </w:tr>
    </w:tbl>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4"/>
      </w:pBdr>
      <w:tabs>
        <w:tab w:val="right" w:pos="9026"/>
      </w:tabs>
    </w:pPr>
    <w:r>
      <w:rPr>
        <w:rFonts w:ascii="Arial" w:cs="Arial" w:eastAsia="Arial" w:hAnsi="Arial"/>
        <w:b/>
        <w:bCs/>
        <w:color w:val="0F6E56"/>
        <w:sz w:val="18"/>
        <w:szCs w:val="18"/>
      </w:rPr>
      <w:t xml:space="preserve">SunuPaie — Audit &amp; Revue Globale</w:t>
    </w:r>
    <w:r>
      <w:rPr>
        <w:rFonts w:ascii="Arial" w:cs="Arial" w:eastAsia="Arial" w:hAnsi="Arial"/>
        <w:color w:val="999999"/>
        <w:sz w:val="18"/>
        <w:szCs w:val="18"/>
      </w:rPr>
      <w:t xml:space="preserve">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2026-04-18T12:18:21.439Z</dcterms:created>
  <dcterms:modified xsi:type="dcterms:W3CDTF">2026-04-18T12:18:21.439Z</dcterms:modified>
</cp:coreProperties>
</file>

<file path=docProps/custom.xml><?xml version="1.0" encoding="utf-8"?>
<Properties xmlns="http://schemas.openxmlformats.org/officeDocument/2006/custom-properties" xmlns:vt="http://schemas.openxmlformats.org/officeDocument/2006/docPropsVTypes"/>
</file>