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overview paragraph introduces the dataset and experiment scope.</w:t>
      </w:r>
    </w:p>
    <w:p>
      <w:r>
        <w:t>Figure one discusses category sales before the comparison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92%</w:t>
            </w:r>
          </w:p>
        </w:tc>
      </w:tr>
      <w:tr>
        <w:tc>
          <w:tcPr>
            <w:tcW w:type="dxa" w:w="4320"/>
          </w:tcPr>
          <w:p>
            <w:r>
              <w:t>Samples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11480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chart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two explains growth rate after the first chart.</w:t>
      </w:r>
    </w:p>
    <w:p>
      <w:r>
        <w:drawing>
          <wp:inline xmlns:a="http://schemas.openxmlformats.org/drawingml/2006/main" xmlns:pic="http://schemas.openxmlformats.org/drawingml/2006/picture">
            <wp:extent cx="4114800" cy="2468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chart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