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rFonts w:ascii="Arial" w:hAnsi="Arial" w:eastAsia="Arial" w:cs="Arial"/>
          <w:b/>
          <w:color w:val="17365D"/>
          <w:sz w:val="36"/>
        </w:rPr>
        <w:t>BÁO CÁO PHÂN TÍCH CỔ PHIẾU — SSI</w:t>
      </w:r>
    </w:p>
    <w:p>
      <w:pPr>
        <w:spacing w:after="80" w:line="252" w:lineRule="auto"/>
        <w:jc w:val="center"/>
      </w:pPr>
      <w:r>
        <w:rPr>
          <w:rFonts w:ascii="Arial" w:hAnsi="Arial" w:eastAsia="Arial" w:cs="Arial"/>
          <w:color w:val="595959"/>
          <w:sz w:val="20"/>
        </w:rPr>
        <w:t>Báo cáo dành cho nhà đầu tư | Tổng hợp tin tức, kỹ thuật, định giá và rủi ro</w:t>
      </w:r>
    </w:p>
    <w:p>
      <w:pPr>
        <w:spacing w:after="80" w:line="252" w:lineRule="auto"/>
        <w:jc w:val="center"/>
      </w:pPr>
      <w:r>
        <w:rPr>
          <w:rFonts w:ascii="Arial" w:hAnsi="Arial" w:eastAsia="Arial" w:cs="Arial"/>
          <w:color w:val="808080"/>
          <w:sz w:val="16"/>
        </w:rPr>
        <w:t>Thời gian tạo: 2026-07-12 22:44:47</w:t>
      </w:r>
    </w:p>
    <w:p>
      <w:pPr>
        <w:spacing w:after="80" w:line="252" w:lineRule="auto"/>
      </w:pPr>
      <w:r>
        <w:rPr>
          <w:rFonts w:ascii="Arial" w:hAnsi="Arial" w:eastAsia="Arial" w:cs="Arial"/>
          <w:b/>
          <w:color w:val="17365D"/>
          <w:sz w:val="24"/>
        </w:rPr>
        <w:t>1. Tóm tắt nhanh</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rFonts w:ascii="Arial" w:hAnsi="Arial" w:eastAsia="Arial" w:cs="Arial"/>
              </w:rPr>
            </w:r>
            <w:r>
              <w:rPr>
                <w:rFonts w:ascii="Arial" w:hAnsi="Arial" w:eastAsia="Arial" w:cs="Arial"/>
                <w:b/>
                <w:color w:val="FFFFFF"/>
                <w:sz w:val="18"/>
              </w:rPr>
              <w:t>Hạng mục</w:t>
            </w:r>
          </w:p>
        </w:tc>
        <w:tc>
          <w:tcPr>
            <w:tcW w:type="dxa" w:w="5184"/>
            <w:vAlign w:val="center"/>
            <w:shd w:fill="1F4E79"/>
          </w:tcPr>
          <w:p>
            <w:r>
              <w:rPr>
                <w:rFonts w:ascii="Arial" w:hAnsi="Arial" w:eastAsia="Arial" w:cs="Arial"/>
              </w:rPr>
            </w:r>
            <w:r>
              <w:rPr>
                <w:rFonts w:ascii="Arial" w:hAnsi="Arial" w:eastAsia="Arial" w:cs="Arial"/>
                <w:b/>
                <w:color w:val="FFFFFF"/>
                <w:sz w:val="18"/>
              </w:rPr>
              <w:t>Thông tin chính</w:t>
            </w:r>
          </w:p>
        </w:tc>
      </w:tr>
      <w:tr>
        <w:tc>
          <w:tcPr>
            <w:tcW w:type="dxa" w:w="5184"/>
            <w:vAlign w:val="center"/>
          </w:tcPr>
          <w:p>
            <w:r>
              <w:rPr>
                <w:rFonts w:ascii="Arial" w:hAnsi="Arial" w:eastAsia="Arial" w:cs="Arial"/>
              </w:rPr>
            </w:r>
            <w:r>
              <w:rPr>
                <w:rFonts w:ascii="Arial" w:hAnsi="Arial" w:eastAsia="Arial" w:cs="Arial"/>
                <w:b w:val="0"/>
                <w:sz w:val="18"/>
              </w:rPr>
              <w:t>Mã cổ phiếu</w:t>
            </w:r>
          </w:p>
        </w:tc>
        <w:tc>
          <w:tcPr>
            <w:tcW w:type="dxa" w:w="5184"/>
            <w:vAlign w:val="center"/>
          </w:tcPr>
          <w:p>
            <w:r>
              <w:rPr>
                <w:rFonts w:ascii="Arial" w:hAnsi="Arial" w:eastAsia="Arial" w:cs="Arial"/>
              </w:rPr>
            </w:r>
            <w:r>
              <w:rPr>
                <w:rFonts w:ascii="Arial" w:hAnsi="Arial" w:eastAsia="Arial" w:cs="Arial"/>
                <w:b w:val="0"/>
                <w:sz w:val="18"/>
              </w:rPr>
              <w:t>SSI</w:t>
            </w:r>
          </w:p>
        </w:tc>
      </w:tr>
      <w:tr>
        <w:tc>
          <w:tcPr>
            <w:tcW w:type="dxa" w:w="5184"/>
            <w:vAlign w:val="center"/>
          </w:tcPr>
          <w:p>
            <w:r>
              <w:rPr>
                <w:rFonts w:ascii="Arial" w:hAnsi="Arial" w:eastAsia="Arial" w:cs="Arial"/>
              </w:rPr>
            </w:r>
            <w:r>
              <w:rPr>
                <w:rFonts w:ascii="Arial" w:hAnsi="Arial" w:eastAsia="Arial" w:cs="Arial"/>
                <w:b w:val="0"/>
                <w:sz w:val="18"/>
              </w:rPr>
              <w:t>Giá tham chiếu khi xuất báo cáo</w:t>
            </w:r>
          </w:p>
        </w:tc>
        <w:tc>
          <w:tcPr>
            <w:tcW w:type="dxa" w:w="5184"/>
            <w:vAlign w:val="center"/>
          </w:tcPr>
          <w:p>
            <w:r>
              <w:rPr>
                <w:rFonts w:ascii="Arial" w:hAnsi="Arial" w:eastAsia="Arial" w:cs="Arial"/>
              </w:rPr>
            </w:r>
            <w:r>
              <w:rPr>
                <w:rFonts w:ascii="Arial" w:hAnsi="Arial" w:eastAsia="Arial" w:cs="Arial"/>
                <w:b w:val="0"/>
                <w:sz w:val="18"/>
              </w:rPr>
              <w:t>27.2 — ngày close: 2026-07-01; volume: 14,723,800 (phiên 2026-06-30)</w:t>
            </w:r>
          </w:p>
        </w:tc>
      </w:tr>
      <w:tr>
        <w:tc>
          <w:tcPr>
            <w:tcW w:type="dxa" w:w="5184"/>
            <w:vAlign w:val="center"/>
          </w:tcPr>
          <w:p>
            <w:r>
              <w:rPr>
                <w:rFonts w:ascii="Arial" w:hAnsi="Arial" w:eastAsia="Arial" w:cs="Arial"/>
              </w:rPr>
            </w:r>
            <w:r>
              <w:rPr>
                <w:rFonts w:ascii="Arial" w:hAnsi="Arial" w:eastAsia="Arial" w:cs="Arial"/>
                <w:b w:val="0"/>
                <w:sz w:val="18"/>
              </w:rPr>
              <w:t>Quan điểm tổng hợp</w:t>
            </w:r>
          </w:p>
        </w:tc>
        <w:tc>
          <w:tcPr>
            <w:tcW w:type="dxa" w:w="5184"/>
            <w:vAlign w:val="center"/>
          </w:tcPr>
          <w:p>
            <w:r>
              <w:rPr>
                <w:rFonts w:ascii="Arial" w:hAnsi="Arial" w:eastAsia="Arial" w:cs="Arial"/>
              </w:rPr>
            </w:r>
            <w:r>
              <w:rPr>
                <w:rFonts w:ascii="Arial" w:hAnsi="Arial" w:eastAsia="Arial" w:cs="Arial"/>
                <w:b w:val="0"/>
                <w:sz w:val="18"/>
              </w:rPr>
              <w:t>TÍCH CỰC THẬN TRỌNG — tín hiệu nghiêng tích cực nhưng chưa đồng thuận, chờ xác nhận. Điểm tổng hợp 6/10 (xu hướng 1/3, động lượng 2/2, dòng tiền 1/3, tin tức 2/2)</w:t>
            </w:r>
          </w:p>
        </w:tc>
      </w:tr>
      <w:tr>
        <w:tc>
          <w:tcPr>
            <w:tcW w:type="dxa" w:w="5184"/>
            <w:vAlign w:val="center"/>
          </w:tcPr>
          <w:p>
            <w:r>
              <w:rPr>
                <w:rFonts w:ascii="Arial" w:hAnsi="Arial" w:eastAsia="Arial" w:cs="Arial"/>
              </w:rPr>
            </w:r>
            <w:r>
              <w:rPr>
                <w:rFonts w:ascii="Arial" w:hAnsi="Arial" w:eastAsia="Arial" w:cs="Arial"/>
                <w:b w:val="0"/>
                <w:sz w:val="18"/>
              </w:rPr>
              <w:t>Vùng giá quan trọng</w:t>
            </w:r>
          </w:p>
        </w:tc>
        <w:tc>
          <w:tcPr>
            <w:tcW w:type="dxa" w:w="5184"/>
            <w:vAlign w:val="center"/>
          </w:tcPr>
          <w:p>
            <w:r>
              <w:rPr>
                <w:rFonts w:ascii="Arial" w:hAnsi="Arial" w:eastAsia="Arial" w:cs="Arial"/>
              </w:rPr>
            </w:r>
            <w:r>
              <w:rPr>
                <w:rFonts w:ascii="Arial" w:hAnsi="Arial" w:eastAsia="Arial" w:cs="Arial"/>
                <w:b w:val="0"/>
                <w:sz w:val="18"/>
              </w:rPr>
              <w:t>Hỗ trợ 26.6 (-2.2% so với giá); kháng cự 28.2 (+3.7% so với giá)</w:t>
            </w:r>
          </w:p>
        </w:tc>
      </w:tr>
      <w:tr>
        <w:tc>
          <w:tcPr>
            <w:tcW w:type="dxa" w:w="5184"/>
            <w:vAlign w:val="center"/>
          </w:tcPr>
          <w:p>
            <w:r>
              <w:rPr>
                <w:rFonts w:ascii="Arial" w:hAnsi="Arial" w:eastAsia="Arial" w:cs="Arial"/>
              </w:rPr>
            </w:r>
            <w:r>
              <w:rPr>
                <w:rFonts w:ascii="Arial" w:hAnsi="Arial" w:eastAsia="Arial" w:cs="Arial"/>
                <w:b w:val="0"/>
                <w:sz w:val="18"/>
              </w:rPr>
              <w:t>Lưu ý</w:t>
            </w:r>
          </w:p>
        </w:tc>
        <w:tc>
          <w:tcPr>
            <w:tcW w:type="dxa" w:w="5184"/>
            <w:vAlign w:val="center"/>
          </w:tcPr>
          <w:p>
            <w:r>
              <w:rPr>
                <w:rFonts w:ascii="Arial" w:hAnsi="Arial" w:eastAsia="Arial" w:cs="Arial"/>
              </w:rPr>
            </w:r>
            <w:r>
              <w:rPr>
                <w:rFonts w:ascii="Arial" w:hAnsi="Arial" w:eastAsia="Arial" w:cs="Arial"/>
                <w:b w:val="0"/>
                <w:sz w:val="18"/>
              </w:rPr>
              <w:t>Mọi nhận định kỹ thuật/risk/trigger bên dưới lấy giá tham chiếu khi xuất báo cáo làm mốc</w:t>
            </w:r>
          </w:p>
        </w:tc>
      </w:tr>
    </w:tbl>
    <w:p>
      <w:pPr>
        <w:spacing w:after="80" w:line="252" w:lineRule="auto"/>
      </w:pPr>
    </w:p>
    <w:p>
      <w:pPr>
        <w:spacing w:after="80" w:line="252" w:lineRule="auto"/>
      </w:pPr>
      <w:r>
        <w:rPr>
          <w:rFonts w:ascii="Arial" w:hAnsi="Arial" w:eastAsia="Arial" w:cs="Arial"/>
          <w:b/>
          <w:color w:val="915591"/>
          <w:sz w:val="24"/>
        </w:rPr>
        <w:t>1B. Điểm tổng hợp theo 4 lớp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rFonts w:ascii="Arial" w:hAnsi="Arial" w:eastAsia="Arial" w:cs="Arial"/>
              </w:rPr>
            </w:r>
            <w:r>
              <w:rPr>
                <w:rFonts w:ascii="Arial" w:hAnsi="Arial" w:eastAsia="Arial" w:cs="Arial"/>
                <w:b/>
                <w:color w:val="FFFFFF"/>
                <w:sz w:val="18"/>
              </w:rPr>
              <w:t>Lớp đánh giá</w:t>
            </w:r>
          </w:p>
        </w:tc>
        <w:tc>
          <w:tcPr>
            <w:tcW w:type="dxa" w:w="3456"/>
            <w:vAlign w:val="center"/>
            <w:shd w:fill="1F4E79"/>
          </w:tcPr>
          <w:p>
            <w:r>
              <w:rPr>
                <w:rFonts w:ascii="Arial" w:hAnsi="Arial" w:eastAsia="Arial" w:cs="Arial"/>
              </w:rPr>
            </w:r>
            <w:r>
              <w:rPr>
                <w:rFonts w:ascii="Arial" w:hAnsi="Arial" w:eastAsia="Arial" w:cs="Arial"/>
                <w:b/>
                <w:color w:val="FFFFFF"/>
                <w:sz w:val="18"/>
              </w:rPr>
              <w:t>Điểm</w:t>
            </w:r>
          </w:p>
        </w:tc>
        <w:tc>
          <w:tcPr>
            <w:tcW w:type="dxa" w:w="3456"/>
            <w:vAlign w:val="center"/>
            <w:shd w:fill="1F4E79"/>
          </w:tcPr>
          <w:p>
            <w:r>
              <w:rPr>
                <w:rFonts w:ascii="Arial" w:hAnsi="Arial" w:eastAsia="Arial" w:cs="Arial"/>
              </w:rPr>
            </w:r>
            <w:r>
              <w:rPr>
                <w:rFonts w:ascii="Arial" w:hAnsi="Arial" w:eastAsia="Arial" w:cs="Arial"/>
                <w:b/>
                <w:color w:val="FFFFFF"/>
                <w:sz w:val="18"/>
              </w:rPr>
              <w:t>Bằng chứng</w:t>
            </w:r>
          </w:p>
        </w:tc>
      </w:tr>
      <w:tr>
        <w:tc>
          <w:tcPr>
            <w:tcW w:type="dxa" w:w="3456"/>
            <w:vAlign w:val="center"/>
          </w:tcPr>
          <w:p>
            <w:r>
              <w:rPr>
                <w:rFonts w:ascii="Arial" w:hAnsi="Arial" w:eastAsia="Arial" w:cs="Arial"/>
              </w:rPr>
            </w:r>
            <w:r>
              <w:rPr>
                <w:rFonts w:ascii="Arial" w:hAnsi="Arial" w:eastAsia="Arial" w:cs="Arial"/>
                <w:b w:val="0"/>
                <w:sz w:val="18"/>
              </w:rPr>
              <w:t>Xu hướng</w:t>
            </w:r>
          </w:p>
        </w:tc>
        <w:tc>
          <w:tcPr>
            <w:tcW w:type="dxa" w:w="3456"/>
            <w:vAlign w:val="center"/>
          </w:tcPr>
          <w:p>
            <w:r>
              <w:rPr>
                <w:rFonts w:ascii="Arial" w:hAnsi="Arial" w:eastAsia="Arial" w:cs="Arial"/>
              </w:rPr>
            </w:r>
            <w:r>
              <w:rPr>
                <w:rFonts w:ascii="Arial" w:hAnsi="Arial" w:eastAsia="Arial" w:cs="Arial"/>
                <w:b w:val="0"/>
                <w:sz w:val="18"/>
              </w:rPr>
              <w:t>1/3</w:t>
            </w:r>
          </w:p>
        </w:tc>
        <w:tc>
          <w:tcPr>
            <w:tcW w:type="dxa" w:w="3456"/>
            <w:vAlign w:val="center"/>
          </w:tcPr>
          <w:p>
            <w:r>
              <w:rPr>
                <w:rFonts w:ascii="Arial" w:hAnsi="Arial" w:eastAsia="Arial" w:cs="Arial"/>
              </w:rPr>
            </w:r>
            <w:r>
              <w:rPr>
                <w:rFonts w:ascii="Arial" w:hAnsi="Arial" w:eastAsia="Arial" w:cs="Arial"/>
                <w:b w:val="0"/>
                <w:sz w:val="18"/>
              </w:rPr>
              <w:t>trên MA20; dưới MA50; dưới MA200</w:t>
            </w:r>
          </w:p>
        </w:tc>
      </w:tr>
      <w:tr>
        <w:tc>
          <w:tcPr>
            <w:tcW w:type="dxa" w:w="3456"/>
            <w:vAlign w:val="center"/>
          </w:tcPr>
          <w:p>
            <w:r>
              <w:rPr>
                <w:rFonts w:ascii="Arial" w:hAnsi="Arial" w:eastAsia="Arial" w:cs="Arial"/>
              </w:rPr>
            </w:r>
            <w:r>
              <w:rPr>
                <w:rFonts w:ascii="Arial" w:hAnsi="Arial" w:eastAsia="Arial" w:cs="Arial"/>
                <w:b w:val="0"/>
                <w:sz w:val="18"/>
              </w:rPr>
              <w:t>Động lượng</w:t>
            </w:r>
          </w:p>
        </w:tc>
        <w:tc>
          <w:tcPr>
            <w:tcW w:type="dxa" w:w="3456"/>
            <w:vAlign w:val="center"/>
          </w:tcPr>
          <w:p>
            <w:r>
              <w:rPr>
                <w:rFonts w:ascii="Arial" w:hAnsi="Arial" w:eastAsia="Arial" w:cs="Arial"/>
              </w:rPr>
            </w:r>
            <w:r>
              <w:rPr>
                <w:rFonts w:ascii="Arial" w:hAnsi="Arial" w:eastAsia="Arial" w:cs="Arial"/>
                <w:b w:val="0"/>
                <w:sz w:val="18"/>
              </w:rPr>
              <w:t>2/2</w:t>
            </w:r>
          </w:p>
        </w:tc>
        <w:tc>
          <w:tcPr>
            <w:tcW w:type="dxa" w:w="3456"/>
            <w:vAlign w:val="center"/>
          </w:tcPr>
          <w:p>
            <w:r>
              <w:rPr>
                <w:rFonts w:ascii="Arial" w:hAnsi="Arial" w:eastAsia="Arial" w:cs="Arial"/>
              </w:rPr>
            </w:r>
            <w:r>
              <w:rPr>
                <w:rFonts w:ascii="Arial" w:hAnsi="Arial" w:eastAsia="Arial" w:cs="Arial"/>
                <w:b w:val="0"/>
                <w:sz w:val="18"/>
              </w:rPr>
              <w:t>RSI 52.0 ≥ 50; MACD trên signal</w:t>
            </w:r>
          </w:p>
        </w:tc>
      </w:tr>
      <w:tr>
        <w:tc>
          <w:tcPr>
            <w:tcW w:type="dxa" w:w="3456"/>
            <w:vAlign w:val="center"/>
          </w:tcPr>
          <w:p>
            <w:r>
              <w:rPr>
                <w:rFonts w:ascii="Arial" w:hAnsi="Arial" w:eastAsia="Arial" w:cs="Arial"/>
              </w:rPr>
            </w:r>
            <w:r>
              <w:rPr>
                <w:rFonts w:ascii="Arial" w:hAnsi="Arial" w:eastAsia="Arial" w:cs="Arial"/>
                <w:b w:val="0"/>
                <w:sz w:val="18"/>
              </w:rPr>
              <w:t>Dòng tiền/sức mạnh</w:t>
            </w:r>
          </w:p>
        </w:tc>
        <w:tc>
          <w:tcPr>
            <w:tcW w:type="dxa" w:w="3456"/>
            <w:vAlign w:val="center"/>
          </w:tcPr>
          <w:p>
            <w:r>
              <w:rPr>
                <w:rFonts w:ascii="Arial" w:hAnsi="Arial" w:eastAsia="Arial" w:cs="Arial"/>
              </w:rPr>
            </w:r>
            <w:r>
              <w:rPr>
                <w:rFonts w:ascii="Arial" w:hAnsi="Arial" w:eastAsia="Arial" w:cs="Arial"/>
                <w:b w:val="0"/>
                <w:sz w:val="18"/>
              </w:rPr>
              <w:t>1/3</w:t>
            </w:r>
          </w:p>
        </w:tc>
        <w:tc>
          <w:tcPr>
            <w:tcW w:type="dxa" w:w="3456"/>
            <w:vAlign w:val="center"/>
          </w:tcPr>
          <w:p>
            <w:r>
              <w:rPr>
                <w:rFonts w:ascii="Arial" w:hAnsi="Arial" w:eastAsia="Arial" w:cs="Arial"/>
              </w:rPr>
            </w:r>
            <w:r>
              <w:rPr>
                <w:rFonts w:ascii="Arial" w:hAnsi="Arial" w:eastAsia="Arial" w:cs="Arial"/>
                <w:b w:val="0"/>
                <w:sz w:val="18"/>
              </w:rPr>
              <w:t>VolumeRatio 1.12 &lt; 1.2; ADX 13.5 &lt; 20 (xu hướng yếu); +DI 21.2 ≥ -DI 20.5</w:t>
            </w:r>
          </w:p>
        </w:tc>
      </w:tr>
      <w:tr>
        <w:tc>
          <w:tcPr>
            <w:tcW w:type="dxa" w:w="3456"/>
            <w:vAlign w:val="center"/>
          </w:tcPr>
          <w:p>
            <w:r>
              <w:rPr>
                <w:rFonts w:ascii="Arial" w:hAnsi="Arial" w:eastAsia="Arial" w:cs="Arial"/>
              </w:rPr>
            </w:r>
            <w:r>
              <w:rPr>
                <w:rFonts w:ascii="Arial" w:hAnsi="Arial" w:eastAsia="Arial" w:cs="Arial"/>
                <w:b w:val="0"/>
                <w:sz w:val="18"/>
              </w:rPr>
              <w:t>Tin tức/catalyst</w:t>
            </w:r>
          </w:p>
        </w:tc>
        <w:tc>
          <w:tcPr>
            <w:tcW w:type="dxa" w:w="3456"/>
            <w:vAlign w:val="center"/>
          </w:tcPr>
          <w:p>
            <w:r>
              <w:rPr>
                <w:rFonts w:ascii="Arial" w:hAnsi="Arial" w:eastAsia="Arial" w:cs="Arial"/>
              </w:rPr>
            </w:r>
            <w:r>
              <w:rPr>
                <w:rFonts w:ascii="Arial" w:hAnsi="Arial" w:eastAsia="Arial" w:cs="Arial"/>
                <w:b w:val="0"/>
                <w:sz w:val="18"/>
              </w:rPr>
              <w:t>2/2</w:t>
            </w:r>
          </w:p>
        </w:tc>
        <w:tc>
          <w:tcPr>
            <w:tcW w:type="dxa" w:w="3456"/>
            <w:vAlign w:val="center"/>
          </w:tcPr>
          <w:p>
            <w:r>
              <w:t>5 tin đều là tin cụ thể có mốc thời gian/nguồn: tăng vốn 30.000 tỷ, kế hoạch lợi nhuận 2026 &gt;5.800 tỷ, KQKD quý I/2026, ESOP/tăng vốn &gt;25.000 tỷ và thị phần môi giới 2026. Thiên hướng tích cực thận trọng, cần xác nhận bằng giá và thanh khoản.</w:t>
            </w:r>
          </w:p>
        </w:tc>
      </w:tr>
      <w:tr>
        <w:tc>
          <w:tcPr>
            <w:tcW w:type="dxa" w:w="3456"/>
            <w:vAlign w:val="center"/>
          </w:tcPr>
          <w:p>
            <w:r>
              <w:rPr>
                <w:rFonts w:ascii="Arial" w:hAnsi="Arial" w:eastAsia="Arial" w:cs="Arial"/>
              </w:rPr>
            </w:r>
            <w:r>
              <w:rPr>
                <w:rFonts w:ascii="Arial" w:hAnsi="Arial" w:eastAsia="Arial" w:cs="Arial"/>
                <w:b w:val="0"/>
                <w:sz w:val="18"/>
              </w:rPr>
              <w:t>Đối chiếu hệ thống V3</w:t>
            </w:r>
          </w:p>
        </w:tc>
        <w:tc>
          <w:tcPr>
            <w:tcW w:type="dxa" w:w="3456"/>
            <w:vAlign w:val="center"/>
          </w:tcPr>
          <w:p>
            <w:r>
              <w:rPr>
                <w:rFonts w:ascii="Arial" w:hAnsi="Arial" w:eastAsia="Arial" w:cs="Arial"/>
              </w:rPr>
            </w:r>
            <w:r>
              <w:rPr>
                <w:rFonts w:ascii="Arial" w:hAnsi="Arial" w:eastAsia="Arial" w:cs="Arial"/>
                <w:b w:val="0"/>
                <w:sz w:val="18"/>
              </w:rPr>
              <w:t>—</w:t>
            </w:r>
          </w:p>
        </w:tc>
        <w:tc>
          <w:tcPr>
            <w:tcW w:type="dxa" w:w="3456"/>
            <w:vAlign w:val="center"/>
          </w:tcPr>
          <w:p>
            <w:r>
              <w:rPr>
                <w:rFonts w:ascii="Arial" w:hAnsi="Arial" w:eastAsia="Arial" w:cs="Arial"/>
              </w:rPr>
            </w:r>
            <w:r>
              <w:rPr>
                <w:rFonts w:ascii="Arial" w:hAnsi="Arial" w:eastAsia="Arial" w:cs="Arial"/>
                <w:b w:val="0"/>
                <w:sz w:val="18"/>
              </w:rPr>
              <w:t>Zone: Trung tính; Setup: Chờ xác nhận; không mâu thuẫn lớn với điểm tổng hợp</w:t>
            </w:r>
          </w:p>
        </w:tc>
      </w:tr>
      <w:tr>
        <w:tc>
          <w:tcPr>
            <w:tcW w:type="dxa" w:w="3456"/>
            <w:vAlign w:val="center"/>
          </w:tcPr>
          <w:p>
            <w:r>
              <w:rPr>
                <w:rFonts w:ascii="Arial" w:hAnsi="Arial" w:eastAsia="Arial" w:cs="Arial"/>
              </w:rPr>
            </w:r>
            <w:r>
              <w:rPr>
                <w:rFonts w:ascii="Arial" w:hAnsi="Arial" w:eastAsia="Arial" w:cs="Arial"/>
                <w:b w:val="0"/>
                <w:sz w:val="18"/>
              </w:rPr>
              <w:t>TỔNG HỢP</w:t>
            </w:r>
          </w:p>
        </w:tc>
        <w:tc>
          <w:tcPr>
            <w:tcW w:type="dxa" w:w="3456"/>
            <w:vAlign w:val="center"/>
          </w:tcPr>
          <w:p>
            <w:r>
              <w:rPr>
                <w:rFonts w:ascii="Arial" w:hAnsi="Arial" w:eastAsia="Arial" w:cs="Arial"/>
              </w:rPr>
            </w:r>
            <w:r>
              <w:rPr>
                <w:rFonts w:ascii="Arial" w:hAnsi="Arial" w:eastAsia="Arial" w:cs="Arial"/>
                <w:b w:val="0"/>
                <w:sz w:val="18"/>
              </w:rPr>
              <w:t>6/10</w:t>
            </w:r>
          </w:p>
        </w:tc>
        <w:tc>
          <w:tcPr>
            <w:tcW w:type="dxa" w:w="3456"/>
            <w:vAlign w:val="center"/>
          </w:tcPr>
          <w:p>
            <w:r>
              <w:rPr>
                <w:rFonts w:ascii="Arial" w:hAnsi="Arial" w:eastAsia="Arial" w:cs="Arial"/>
              </w:rPr>
            </w:r>
            <w:r>
              <w:rPr>
                <w:rFonts w:ascii="Arial" w:hAnsi="Arial" w:eastAsia="Arial" w:cs="Arial"/>
                <w:b w:val="0"/>
                <w:sz w:val="18"/>
              </w:rPr>
              <w:t>TÍCH CỰC THẬN TRỌNG — tín hiệu nghiêng tích cực nhưng chưa đồng thuận, chờ xác nhận</w:t>
            </w:r>
          </w:p>
        </w:tc>
      </w:tr>
    </w:tbl>
    <w:p>
      <w:pPr>
        <w:spacing w:after="80" w:line="252" w:lineRule="auto"/>
      </w:pPr>
    </w:p>
    <w:p>
      <w:pPr>
        <w:spacing w:after="80" w:line="252" w:lineRule="auto"/>
        <w:ind w:left="259" w:hanging="173"/>
      </w:pPr>
      <w:r>
        <w:rPr>
          <w:rFonts w:ascii="Arial" w:hAnsi="Arial" w:eastAsia="Arial" w:cs="Arial"/>
          <w:b/>
          <w:sz w:val="18"/>
        </w:rPr>
        <w:t xml:space="preserve">• </w:t>
      </w:r>
      <w:r>
        <w:rPr>
          <w:rFonts w:ascii="Arial" w:hAnsi="Arial" w:eastAsia="Arial" w:cs="Arial"/>
          <w:sz w:val="18"/>
        </w:rPr>
        <w:t>Giá/current indicator mới nhất</w:t>
      </w:r>
    </w:p>
    <w:p>
      <w:pPr>
        <w:spacing w:after="80" w:line="252" w:lineRule="auto"/>
        <w:ind w:left="259" w:hanging="173"/>
      </w:pPr>
      <w:r>
        <w:rPr>
          <w:rFonts w:ascii="Arial" w:hAnsi="Arial" w:eastAsia="Arial" w:cs="Arial"/>
          <w:b/>
          <w:sz w:val="18"/>
        </w:rPr>
        <w:t xml:space="preserve">• </w:t>
      </w:r>
      <w:r>
        <w:rPr>
          <w:rFonts w:ascii="Arial" w:hAnsi="Arial" w:eastAsia="Arial" w:cs="Arial"/>
          <w:sz w:val="18"/>
        </w:rPr>
        <w:t>Theo nguyên tắc dữ liệu trong context: giá/current indicator phải là dữ liệu mới nhất</w:t>
      </w:r>
    </w:p>
    <w:p>
      <w:pPr>
        <w:spacing w:after="80" w:line="252" w:lineRule="auto"/>
        <w:ind w:left="259" w:hanging="173"/>
      </w:pPr>
      <w:r>
        <w:rPr>
          <w:rFonts w:ascii="Arial" w:hAnsi="Arial" w:eastAsia="Arial" w:cs="Arial"/>
          <w:b/>
          <w:sz w:val="18"/>
        </w:rPr>
        <w:t xml:space="preserve">• </w:t>
      </w:r>
      <w:r>
        <w:rPr>
          <w:rFonts w:ascii="Arial" w:hAnsi="Arial" w:eastAsia="Arial" w:cs="Arial"/>
          <w:sz w:val="18"/>
        </w:rPr>
        <w:t>Vì DB/Chart latest đã có ngày 2026-07-10, nên báo cáo này dùng 26,55 làm giá đóng cửa mới nhất</w:t>
      </w:r>
    </w:p>
    <w:p>
      <w:pPr>
        <w:spacing w:after="80" w:line="252" w:lineRule="auto"/>
        <w:ind w:left="259" w:hanging="173"/>
      </w:pPr>
      <w:r>
        <w:rPr>
          <w:rFonts w:ascii="Arial" w:hAnsi="Arial" w:eastAsia="Arial" w:cs="Arial"/>
          <w:b/>
          <w:sz w:val="18"/>
        </w:rPr>
        <w:t xml:space="preserve">• </w:t>
      </w:r>
      <w:r>
        <w:rPr>
          <w:rFonts w:ascii="Arial" w:hAnsi="Arial" w:eastAsia="Arial" w:cs="Arial"/>
          <w:sz w:val="18"/>
        </w:rPr>
        <w:t>Dữ liệu market_data ngày 2026-07-08 được dùng cho hệ hỗ trợ/kháng cự và một số chỉ báo kỹ thuật nhưng cần ghi rõ là cũ hơn giá EOD mới nhất</w:t>
      </w:r>
    </w:p>
    <w:p>
      <w:pPr>
        <w:spacing w:after="80" w:line="252" w:lineRule="auto"/>
        <w:ind w:left="259" w:hanging="173"/>
      </w:pPr>
      <w:r>
        <w:rPr>
          <w:rFonts w:ascii="Arial" w:hAnsi="Arial" w:eastAsia="Arial" w:cs="Arial"/>
          <w:b/>
          <w:sz w:val="18"/>
        </w:rPr>
        <w:t xml:space="preserve">• </w:t>
      </w:r>
      <w:r>
        <w:rPr>
          <w:rFonts w:ascii="Arial" w:hAnsi="Arial" w:eastAsia="Arial" w:cs="Arial"/>
          <w:sz w:val="18"/>
        </w:rPr>
        <w:t>Dữ liệu kỹ thuật hiện tại nghiêng về theo dõi, chưa xác nhận xu hướng tăng mạnh: giá mới nhất 26,55 đang gần vùng hỗ trợ ngày 26,5–26,78 theo LHInvestment, nhưng vẫn dưới mây Ichimoku và dưới MA200</w:t>
      </w:r>
    </w:p>
    <w:p>
      <w:pPr>
        <w:spacing w:after="80" w:line="252" w:lineRule="auto"/>
      </w:pPr>
      <w:r>
        <w:rPr>
          <w:rFonts w:ascii="Arial" w:hAnsi="Arial" w:eastAsia="Arial" w:cs="Arial"/>
          <w:b/>
          <w:color w:val="17365D"/>
          <w:sz w:val="24"/>
        </w:rPr>
        <w:t>2. Tin tức liên quan — tối thiểu 5 tin tác động tới cổ phiếu</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rFonts w:ascii="Arial" w:hAnsi="Arial" w:eastAsia="Arial" w:cs="Arial"/>
              </w:rPr>
            </w:r>
            <w:r>
              <w:rPr>
                <w:rFonts w:ascii="Arial" w:hAnsi="Arial" w:eastAsia="Arial" w:cs="Arial"/>
                <w:b/>
                <w:color w:val="FFFFFF"/>
                <w:sz w:val="18"/>
              </w:rPr>
              <w:t>Nhãn</w:t>
            </w:r>
          </w:p>
        </w:tc>
        <w:tc>
          <w:tcPr>
            <w:tcW w:type="dxa" w:w="3456"/>
            <w:vAlign w:val="center"/>
            <w:shd w:fill="1F4E79"/>
          </w:tcPr>
          <w:p>
            <w:r>
              <w:rPr>
                <w:rFonts w:ascii="Arial" w:hAnsi="Arial" w:eastAsia="Arial" w:cs="Arial"/>
              </w:rPr>
            </w:r>
            <w:r>
              <w:rPr>
                <w:rFonts w:ascii="Arial" w:hAnsi="Arial" w:eastAsia="Arial" w:cs="Arial"/>
                <w:b/>
                <w:color w:val="FFFFFF"/>
                <w:sz w:val="18"/>
              </w:rPr>
              <w:t>Tóm tắt tin</w:t>
            </w:r>
          </w:p>
        </w:tc>
        <w:tc>
          <w:tcPr>
            <w:tcW w:type="dxa" w:w="3456"/>
            <w:vAlign w:val="center"/>
            <w:shd w:fill="1F4E79"/>
          </w:tcPr>
          <w:p>
            <w:r>
              <w:rPr>
                <w:rFonts w:ascii="Arial" w:hAnsi="Arial" w:eastAsia="Arial" w:cs="Arial"/>
              </w:rPr>
            </w:r>
            <w:r>
              <w:rPr>
                <w:rFonts w:ascii="Arial" w:hAnsi="Arial" w:eastAsia="Arial" w:cs="Arial"/>
                <w:b/>
                <w:color w:val="FFFFFF"/>
                <w:sz w:val="18"/>
              </w:rPr>
              <w:t>Tác động</w:t>
            </w:r>
          </w:p>
        </w:tc>
      </w:tr>
      <w:tr>
        <w:tc>
          <w:tcPr>
            <w:tcW w:type="dxa" w:w="3456"/>
          </w:tcPr>
          <w:p>
            <w:pPr>
              <w:jc w:val="left"/>
            </w:pPr>
            <w:r>
              <w:t>Tích cực</w:t>
            </w:r>
          </w:p>
        </w:tc>
        <w:tc>
          <w:tcPr>
            <w:tcW w:type="dxa" w:w="3456"/>
          </w:tcPr>
          <w:p>
            <w:pPr>
              <w:jc w:val="left"/>
            </w:pPr>
            <w:r>
              <w:t>02/04/2026 — CafeF: SSI trình kế hoạch tăng vốn điều lệ lên khoảng 30.000 tỷ đồng.</w:t>
            </w:r>
          </w:p>
        </w:tc>
        <w:tc>
          <w:tcPr>
            <w:tcW w:type="dxa" w:w="3456"/>
          </w:tcPr>
          <w:p>
            <w:pPr>
              <w:jc w:val="left"/>
            </w:pPr>
            <w:r>
              <w:t>Tăng vốn giúp mở rộng năng lực cho vay margin, tự doanh và bảo lãnh phát hành; tích cực cho quy mô doanh thu tài chính/phí khi thị trường thuận lợi. Theo dõi rủi ro pha loãng EPS và tiến độ hoàn tất phát hành.</w:t>
            </w:r>
          </w:p>
        </w:tc>
      </w:tr>
      <w:tr>
        <w:tc>
          <w:tcPr>
            <w:tcW w:type="dxa" w:w="3456"/>
          </w:tcPr>
          <w:p>
            <w:pPr>
              <w:jc w:val="left"/>
            </w:pPr>
            <w:r>
              <w:t>Tích cực</w:t>
            </w:r>
          </w:p>
        </w:tc>
        <w:tc>
          <w:tcPr>
            <w:tcW w:type="dxa" w:w="3456"/>
          </w:tcPr>
          <w:p>
            <w:pPr>
              <w:jc w:val="left"/>
            </w:pPr>
            <w:r>
              <w:t>25–27/03/2026 — CafeF/Vietstock: SSI đặt mục tiêu lợi nhuận năm 2026 trên 5.800 tỷ đồng; tờ trình ĐHĐCĐ nêu kế hoạch kinh doanh và nhân sự.</w:t>
            </w:r>
          </w:p>
        </w:tc>
        <w:tc>
          <w:tcPr>
            <w:tcW w:type="dxa" w:w="3456"/>
          </w:tcPr>
          <w:p>
            <w:pPr>
              <w:jc w:val="left"/>
            </w:pPr>
            <w:r>
              <w:t>Là catalyst KQKD/định giá: mục tiêu lợi nhuận cao hỗ trợ kỳ vọng tăng trưởng nếu dư nợ margin, môi giới và tự doanh cùng thuận lợi. Tác động giảm nếu kế hoạch đã phản ánh vào giá hoặc thanh khoản thị trường yếu.</w:t>
            </w:r>
          </w:p>
        </w:tc>
      </w:tr>
      <w:tr>
        <w:tc>
          <w:tcPr>
            <w:tcW w:type="dxa" w:w="3456"/>
          </w:tcPr>
          <w:p>
            <w:pPr>
              <w:jc w:val="left"/>
            </w:pPr>
            <w:r>
              <w:t>Tích cực / xác nhận nền lợi nhuận</w:t>
            </w:r>
          </w:p>
        </w:tc>
        <w:tc>
          <w:tcPr>
            <w:tcW w:type="dxa" w:w="3456"/>
          </w:tcPr>
          <w:p>
            <w:pPr>
              <w:jc w:val="left"/>
            </w:pPr>
            <w:r>
              <w:t>04/2026 — Vietstock/Báo Mới: Quý I/2026 SSI ghi nhận doanh thu hợp nhất khoảng 3.295 tỷ đồng, lãi trước thuế khoảng 1.593 tỷ đồng.</w:t>
            </w:r>
          </w:p>
        </w:tc>
        <w:tc>
          <w:tcPr>
            <w:tcW w:type="dxa" w:w="3456"/>
          </w:tcPr>
          <w:p>
            <w:pPr>
              <w:jc w:val="left"/>
            </w:pPr>
            <w:r>
              <w:t>KQKD quý I xác nhận nền lợi nhuận cao; hỗ trợ sentiment nếu chất lượng lợi nhuận đến từ mảng lõi như môi giới/margin. Cần soi cơ cấu lợi nhuận vì phần tự doanh có thể biến động theo thị trường.</w:t>
            </w:r>
          </w:p>
        </w:tc>
      </w:tr>
      <w:tr>
        <w:tc>
          <w:tcPr>
            <w:tcW w:type="dxa" w:w="3456"/>
          </w:tcPr>
          <w:p>
            <w:pPr>
              <w:jc w:val="left"/>
            </w:pPr>
            <w:r>
              <w:t>Trung tính đến tích cực</w:t>
            </w:r>
          </w:p>
        </w:tc>
        <w:tc>
          <w:tcPr>
            <w:tcW w:type="dxa" w:w="3456"/>
          </w:tcPr>
          <w:p>
            <w:pPr>
              <w:jc w:val="left"/>
            </w:pPr>
            <w:r>
              <w:t>17/06/2026 — CafeF/Thời báo Tài chính Việt Nam: SSI tăng vốn lên hơn 25.000 tỷ đồng sau khi hoàn tất phát hành ESOP; trước đó có kế hoạch ESOP 10 triệu cổ phiếu cho 295 nhân sự.</w:t>
            </w:r>
          </w:p>
        </w:tc>
        <w:tc>
          <w:tcPr>
            <w:tcW w:type="dxa" w:w="3456"/>
          </w:tcPr>
          <w:p>
            <w:pPr>
              <w:jc w:val="left"/>
            </w:pPr>
            <w:r>
              <w:t>ESOP giúp giữ chân nhân sự và hoàn tất bước tăng vốn, nhưng có pha loãng nhẹ. Tác động tích cực khi gắn với tăng trưởng ROE/hiệu quả nhân sự; trung tính nếu chỉ làm tăng số cổ phiếu lưu hành.</w:t>
            </w:r>
          </w:p>
        </w:tc>
      </w:tr>
      <w:tr>
        <w:tc>
          <w:tcPr>
            <w:tcW w:type="dxa" w:w="3456"/>
          </w:tcPr>
          <w:p>
            <w:pPr>
              <w:jc w:val="left"/>
            </w:pPr>
            <w:r>
              <w:t>Trung tính / cần theo dõi</w:t>
            </w:r>
          </w:p>
        </w:tc>
        <w:tc>
          <w:tcPr>
            <w:tcW w:type="dxa" w:w="3456"/>
          </w:tcPr>
          <w:p>
            <w:pPr>
              <w:jc w:val="left"/>
            </w:pPr>
            <w:r>
              <w:t>06–07/2026 — VietnamBiz/DNSE/Báo Đầu tư: Thị phần môi giới HOSE quý II/2026 SSI tăng nhẹ; quý I/2026 có tin SSI biến động thị phần trên HOSE/HNX.</w:t>
            </w:r>
          </w:p>
        </w:tc>
        <w:tc>
          <w:tcPr>
            <w:tcW w:type="dxa" w:w="3456"/>
          </w:tcPr>
          <w:p>
            <w:pPr>
              <w:jc w:val="left"/>
            </w:pPr>
            <w:r>
              <w:t>Thị phần môi giới tác động trực tiếp đến doanh thu phí, dư nợ margin và vị thế cạnh tranh. Tăng nhẹ là tín hiệu hỗ trợ nhưng chưa đủ mạnh thành catalyst độc lập; cần theo dõi liên tục cùng thanh khoản thị trường.</w:t>
            </w:r>
          </w:p>
        </w:tc>
      </w:tr>
    </w:tbl>
    <w:p>
      <w:pPr>
        <w:spacing w:after="80" w:line="252" w:lineRule="auto"/>
      </w:pPr>
    </w:p>
    <w:p>
      <w:pPr>
        <w:spacing w:after="80" w:line="252" w:lineRule="auto"/>
      </w:pPr>
      <w:r>
        <w:rPr>
          <w:b/>
          <w:sz w:val="24"/>
        </w:rPr>
        <w:t>3A. LHInvestment Indicator Matrix — chỉ báo bắt buộc</w:t>
      </w:r>
    </w:p>
    <w:p>
      <w:pPr>
        <w:spacing w:after="80" w:line="252" w:lineRule="auto"/>
      </w:pPr>
      <w:r>
        <w:rPr>
          <w:rFonts w:ascii="Arial" w:hAnsi="Arial" w:eastAsia="Arial" w:cs="Arial"/>
          <w:b/>
          <w:color w:val="915591"/>
          <w:sz w:val="24"/>
        </w:rPr>
        <w:t>3B. Bốn cặp chỉ báo LHInvestment — nhận định riêng</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rFonts w:ascii="Arial" w:hAnsi="Arial" w:eastAsia="Arial" w:cs="Arial"/>
              </w:rPr>
            </w:r>
            <w:r>
              <w:rPr>
                <w:rFonts w:ascii="Arial" w:hAnsi="Arial" w:eastAsia="Arial" w:cs="Arial"/>
                <w:b/>
                <w:color w:val="FFFFFF"/>
                <w:sz w:val="18"/>
              </w:rPr>
              <w:t>Cặp chỉ báo</w:t>
            </w:r>
          </w:p>
        </w:tc>
        <w:tc>
          <w:tcPr>
            <w:tcW w:type="dxa" w:w="3456"/>
            <w:vAlign w:val="center"/>
            <w:shd w:fill="1F4E79"/>
          </w:tcPr>
          <w:p>
            <w:r>
              <w:rPr>
                <w:rFonts w:ascii="Arial" w:hAnsi="Arial" w:eastAsia="Arial" w:cs="Arial"/>
              </w:rPr>
            </w:r>
            <w:r>
              <w:rPr>
                <w:rFonts w:ascii="Arial" w:hAnsi="Arial" w:eastAsia="Arial" w:cs="Arial"/>
                <w:b/>
                <w:color w:val="FFFFFF"/>
                <w:sz w:val="18"/>
              </w:rPr>
              <w:t>Dữ liệu chính</w:t>
            </w:r>
          </w:p>
        </w:tc>
        <w:tc>
          <w:tcPr>
            <w:tcW w:type="dxa" w:w="3456"/>
            <w:vAlign w:val="center"/>
            <w:shd w:fill="1F4E79"/>
          </w:tcPr>
          <w:p>
            <w:r>
              <w:rPr>
                <w:rFonts w:ascii="Arial" w:hAnsi="Arial" w:eastAsia="Arial" w:cs="Arial"/>
              </w:rPr>
            </w:r>
            <w:r>
              <w:rPr>
                <w:rFonts w:ascii="Arial" w:hAnsi="Arial" w:eastAsia="Arial" w:cs="Arial"/>
                <w:b/>
                <w:color w:val="FFFFFF"/>
                <w:sz w:val="18"/>
              </w:rPr>
              <w:t>Nhận định riêng</w:t>
            </w:r>
          </w:p>
        </w:tc>
      </w:tr>
      <w:tr>
        <w:tc>
          <w:tcPr>
            <w:tcW w:type="dxa" w:w="3456"/>
            <w:vAlign w:val="center"/>
          </w:tcPr>
          <w:p>
            <w:r>
              <w:rPr>
                <w:rFonts w:ascii="Arial" w:hAnsi="Arial" w:eastAsia="Arial" w:cs="Arial"/>
              </w:rPr>
            </w:r>
            <w:r>
              <w:rPr>
                <w:rFonts w:ascii="Arial" w:hAnsi="Arial" w:eastAsia="Arial" w:cs="Arial"/>
                <w:b w:val="0"/>
                <w:sz w:val="18"/>
              </w:rPr>
              <w:t>Cặp 1 — Xu hướng/MA</w:t>
            </w:r>
          </w:p>
        </w:tc>
        <w:tc>
          <w:tcPr>
            <w:tcW w:type="dxa" w:w="3456"/>
            <w:vAlign w:val="center"/>
          </w:tcPr>
          <w:p>
            <w:r>
              <w:rPr>
                <w:rFonts w:ascii="Arial" w:hAnsi="Arial" w:eastAsia="Arial" w:cs="Arial"/>
              </w:rPr>
            </w:r>
            <w:r>
              <w:rPr>
                <w:rFonts w:ascii="Arial" w:hAnsi="Arial" w:eastAsia="Arial" w:cs="Arial"/>
                <w:b w:val="0"/>
                <w:sz w:val="18"/>
              </w:rPr>
              <w:t>Close 27.2; MA10 26.93 (+1.0%); MA20 26.86 (+1.3%); MA50 27.44 (-0.9%); MA100 28.45 (-4.4%); MA200 30.46 (-10.7%)</w:t>
            </w:r>
          </w:p>
        </w:tc>
        <w:tc>
          <w:tcPr>
            <w:tcW w:type="dxa" w:w="3456"/>
            <w:vAlign w:val="center"/>
          </w:tcPr>
          <w:p>
            <w:r>
              <w:rPr>
                <w:rFonts w:ascii="Arial" w:hAnsi="Arial" w:eastAsia="Arial" w:cs="Arial"/>
              </w:rPr>
            </w:r>
            <w:r>
              <w:rPr>
                <w:rFonts w:ascii="Arial" w:hAnsi="Arial" w:eastAsia="Arial" w:cs="Arial"/>
                <w:b w:val="0"/>
                <w:sz w:val="18"/>
              </w:rPr>
              <w:t>Kết luận theo giá hiện tại: Giá tham chiếu 27.2; hỗ trợ 26.6 cách giá -2.2%; kháng cự 28.2 cách giá +3.7%; giá so với MA20 26.86: +1.3%; giá so với MA50 27.44: -0.9%; giá so với MA200 30.46: -10.7%; RSI trên 50 hỗ trợ động lượng; MACD trên signal là điểm cộng. Hành động: giá đã trên MA20 nhưng còn dưới MA50 27.44 (-0.9%) — cần đóng cửa trên MA50 trước khi nâng tỷ trọng; không mua đuổi sát kháng cự 28.2</w:t>
            </w:r>
          </w:p>
        </w:tc>
      </w:tr>
      <w:tr>
        <w:tc>
          <w:tcPr>
            <w:tcW w:type="dxa" w:w="3456"/>
            <w:vAlign w:val="center"/>
          </w:tcPr>
          <w:p>
            <w:r>
              <w:rPr>
                <w:rFonts w:ascii="Arial" w:hAnsi="Arial" w:eastAsia="Arial" w:cs="Arial"/>
              </w:rPr>
            </w:r>
            <w:r>
              <w:rPr>
                <w:rFonts w:ascii="Arial" w:hAnsi="Arial" w:eastAsia="Arial" w:cs="Arial"/>
                <w:b w:val="0"/>
                <w:sz w:val="18"/>
              </w:rPr>
              <w:t>Cặp 2 — Động lượng</w:t>
            </w:r>
          </w:p>
        </w:tc>
        <w:tc>
          <w:tcPr>
            <w:tcW w:type="dxa" w:w="3456"/>
            <w:vAlign w:val="center"/>
          </w:tcPr>
          <w:p>
            <w:r>
              <w:rPr>
                <w:rFonts w:ascii="Arial" w:hAnsi="Arial" w:eastAsia="Arial" w:cs="Arial"/>
              </w:rPr>
            </w:r>
            <w:r>
              <w:rPr>
                <w:rFonts w:ascii="Arial" w:hAnsi="Arial" w:eastAsia="Arial" w:cs="Arial"/>
                <w:b w:val="0"/>
                <w:sz w:val="18"/>
              </w:rPr>
              <w:t>RSI14 51.99; MACD -0.1727; signal -0.2033; hist 0.0306; ROC20 -0.37; ret5 -0.37</w:t>
            </w:r>
          </w:p>
        </w:tc>
        <w:tc>
          <w:tcPr>
            <w:tcW w:type="dxa" w:w="3456"/>
            <w:vAlign w:val="center"/>
          </w:tcPr>
          <w:p>
            <w:r>
              <w:rPr>
                <w:rFonts w:ascii="Arial" w:hAnsi="Arial" w:eastAsia="Arial" w:cs="Arial"/>
              </w:rPr>
            </w:r>
            <w:r>
              <w:rPr>
                <w:rFonts w:ascii="Arial" w:hAnsi="Arial" w:eastAsia="Arial" w:cs="Arial"/>
                <w:b w:val="0"/>
                <w:sz w:val="18"/>
              </w:rPr>
              <w:t>Kết luận: RSI ủng hộ xu hướng tăng; MACD xác nhận động lượng. Hành động: RSI 51.99 và histogram đã dương — giữ quan điểm khi RSI còn trên 50; cảđánh giác nếu RSI rơi lại dưới 50</w:t>
            </w:r>
          </w:p>
        </w:tc>
      </w:tr>
      <w:tr>
        <w:tc>
          <w:tcPr>
            <w:tcW w:type="dxa" w:w="3456"/>
            <w:vAlign w:val="center"/>
          </w:tcPr>
          <w:p>
            <w:r>
              <w:rPr>
                <w:rFonts w:ascii="Arial" w:hAnsi="Arial" w:eastAsia="Arial" w:cs="Arial"/>
              </w:rPr>
            </w:r>
            <w:r>
              <w:rPr>
                <w:rFonts w:ascii="Arial" w:hAnsi="Arial" w:eastAsia="Arial" w:cs="Arial"/>
                <w:b w:val="0"/>
                <w:sz w:val="18"/>
              </w:rPr>
              <w:t>Cặp 3 — Sức mạnh xu hướng/dòng tiền</w:t>
            </w:r>
          </w:p>
        </w:tc>
        <w:tc>
          <w:tcPr>
            <w:tcW w:type="dxa" w:w="3456"/>
            <w:vAlign w:val="center"/>
          </w:tcPr>
          <w:p>
            <w:r>
              <w:rPr>
                <w:rFonts w:ascii="Arial" w:hAnsi="Arial" w:eastAsia="Arial" w:cs="Arial"/>
              </w:rPr>
            </w:r>
            <w:r>
              <w:rPr>
                <w:rFonts w:ascii="Arial" w:hAnsi="Arial" w:eastAsia="Arial" w:cs="Arial"/>
                <w:b w:val="0"/>
                <w:sz w:val="18"/>
              </w:rPr>
              <w:t>ADX 13.52; +DI 21.23; -DI 20.48; Volume 14,723,800; AvgVol20 13,106,670; VolumeRatio 1.12</w:t>
            </w:r>
          </w:p>
        </w:tc>
        <w:tc>
          <w:tcPr>
            <w:tcW w:type="dxa" w:w="3456"/>
            <w:vAlign w:val="center"/>
          </w:tcPr>
          <w:p>
            <w:r>
              <w:rPr>
                <w:rFonts w:ascii="Arial" w:hAnsi="Arial" w:eastAsia="Arial" w:cs="Arial"/>
              </w:rPr>
            </w:r>
            <w:r>
              <w:rPr>
                <w:rFonts w:ascii="Arial" w:hAnsi="Arial" w:eastAsia="Arial" w:cs="Arial"/>
                <w:b w:val="0"/>
                <w:sz w:val="18"/>
              </w:rPr>
              <w:t>Kết luận: ADX yếu (xu hướng nhiễu); +DI trên -DI, bên mua chiếm ưu thế; dòng tiền chưa xác nhận đủ. Hành động: breakout chỉ có giá trị khi VolumeRatio &gt; 1.2 và +DI duy trì trên -DI</w:t>
            </w:r>
          </w:p>
        </w:tc>
      </w:tr>
      <w:tr>
        <w:tc>
          <w:tcPr>
            <w:tcW w:type="dxa" w:w="3456"/>
            <w:vAlign w:val="center"/>
          </w:tcPr>
          <w:p>
            <w:r>
              <w:rPr>
                <w:rFonts w:ascii="Arial" w:hAnsi="Arial" w:eastAsia="Arial" w:cs="Arial"/>
              </w:rPr>
            </w:r>
            <w:r>
              <w:rPr>
                <w:rFonts w:ascii="Arial" w:hAnsi="Arial" w:eastAsia="Arial" w:cs="Arial"/>
                <w:b w:val="0"/>
                <w:sz w:val="18"/>
              </w:rPr>
              <w:t>Cặp 4 — Biên dao động &amp; vùng giá</w:t>
            </w:r>
          </w:p>
        </w:tc>
        <w:tc>
          <w:tcPr>
            <w:tcW w:type="dxa" w:w="3456"/>
            <w:vAlign w:val="center"/>
          </w:tcPr>
          <w:p>
            <w:r>
              <w:rPr>
                <w:rFonts w:ascii="Arial" w:hAnsi="Arial" w:eastAsia="Arial" w:cs="Arial"/>
              </w:rPr>
            </w:r>
            <w:r>
              <w:rPr>
                <w:rFonts w:ascii="Arial" w:hAnsi="Arial" w:eastAsia="Arial" w:cs="Arial"/>
                <w:b w:val="0"/>
                <w:sz w:val="18"/>
              </w:rPr>
              <w:t>BB upper/mid/lower 27.76/26.86/25.96; %B 0.69; Support 26.6 (-2.2%); Resistance 28.2 (+3.7%)</w:t>
            </w:r>
          </w:p>
        </w:tc>
        <w:tc>
          <w:tcPr>
            <w:tcW w:type="dxa" w:w="3456"/>
            <w:vAlign w:val="center"/>
          </w:tcPr>
          <w:p>
            <w:r>
              <w:rPr>
                <w:rFonts w:ascii="Arial" w:hAnsi="Arial" w:eastAsia="Arial" w:cs="Arial"/>
              </w:rPr>
            </w:r>
            <w:r>
              <w:rPr>
                <w:rFonts w:ascii="Arial" w:hAnsi="Arial" w:eastAsia="Arial" w:cs="Arial"/>
                <w:b w:val="0"/>
                <w:sz w:val="18"/>
              </w:rPr>
              <w:t>Kết luận: hỗ trợ 26.6 cách giá -2.2%, kháng cự 28.2 cách giá +3.7%. Hành động: nếu giá dưới/tiệm cận hỗ trợ thì ưu tiên quản trị rủi ro; nếu vượt kháng cự với volume xác nhận thì mới nâng xác suất bull case</w:t>
            </w:r>
          </w:p>
        </w:tc>
      </w:tr>
    </w:tbl>
    <w:p>
      <w:pPr>
        <w:spacing w:after="80" w:line="252" w:lineRule="auto"/>
      </w:pPr>
    </w:p>
    <w:p>
      <w:pPr>
        <w:spacing w:after="80" w:line="252" w:lineRule="auto"/>
      </w:pPr>
      <w:r>
        <w:rPr>
          <w:rFonts w:ascii="Arial" w:hAnsi="Arial" w:eastAsia="Arial" w:cs="Arial"/>
          <w:b/>
          <w:color w:val="915591"/>
          <w:sz w:val="24"/>
        </w:rPr>
        <w:t>3C. Tín hiệu hệ thống V3/LHInvestment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rFonts w:ascii="Arial" w:hAnsi="Arial" w:eastAsia="Arial" w:cs="Arial"/>
              </w:rPr>
            </w:r>
            <w:r>
              <w:rPr>
                <w:rFonts w:ascii="Arial" w:hAnsi="Arial" w:eastAsia="Arial" w:cs="Arial"/>
                <w:b/>
                <w:color w:val="FFFFFF"/>
                <w:sz w:val="18"/>
              </w:rPr>
              <w:t>Tín hiệu hệ thống</w:t>
            </w:r>
          </w:p>
        </w:tc>
        <w:tc>
          <w:tcPr>
            <w:tcW w:type="dxa" w:w="3456"/>
            <w:vAlign w:val="center"/>
            <w:shd w:fill="1F4E79"/>
          </w:tcPr>
          <w:p>
            <w:r>
              <w:rPr>
                <w:rFonts w:ascii="Arial" w:hAnsi="Arial" w:eastAsia="Arial" w:cs="Arial"/>
              </w:rPr>
            </w:r>
            <w:r>
              <w:rPr>
                <w:rFonts w:ascii="Arial" w:hAnsi="Arial" w:eastAsia="Arial" w:cs="Arial"/>
                <w:b/>
                <w:color w:val="FFFFFF"/>
                <w:sz w:val="18"/>
              </w:rPr>
              <w:t>Giá trị</w:t>
            </w:r>
          </w:p>
        </w:tc>
        <w:tc>
          <w:tcPr>
            <w:tcW w:type="dxa" w:w="3456"/>
            <w:vAlign w:val="center"/>
            <w:shd w:fill="1F4E79"/>
          </w:tcPr>
          <w:p>
            <w:r>
              <w:rPr>
                <w:rFonts w:ascii="Arial" w:hAnsi="Arial" w:eastAsia="Arial" w:cs="Arial"/>
              </w:rPr>
            </w:r>
            <w:r>
              <w:rPr>
                <w:rFonts w:ascii="Arial" w:hAnsi="Arial" w:eastAsia="Arial" w:cs="Arial"/>
                <w:b/>
                <w:color w:val="FFFFFF"/>
                <w:sz w:val="18"/>
              </w:rPr>
              <w:t>Diễn giải</w:t>
            </w:r>
          </w:p>
        </w:tc>
      </w:tr>
      <w:tr>
        <w:tc>
          <w:tcPr>
            <w:tcW w:type="dxa" w:w="3456"/>
            <w:vAlign w:val="center"/>
          </w:tcPr>
          <w:p>
            <w:r>
              <w:rPr>
                <w:rFonts w:ascii="Arial" w:hAnsi="Arial" w:eastAsia="Arial" w:cs="Arial"/>
              </w:rPr>
            </w:r>
            <w:r>
              <w:rPr>
                <w:rFonts w:ascii="Arial" w:hAnsi="Arial" w:eastAsia="Arial" w:cs="Arial"/>
                <w:b w:val="0"/>
                <w:sz w:val="18"/>
              </w:rPr>
              <w:t>Xu hướng hiệu lực</w:t>
            </w:r>
          </w:p>
        </w:tc>
        <w:tc>
          <w:tcPr>
            <w:tcW w:type="dxa" w:w="3456"/>
            <w:vAlign w:val="center"/>
          </w:tcPr>
          <w:p>
            <w:r>
              <w:rPr>
                <w:rFonts w:ascii="Arial" w:hAnsi="Arial" w:eastAsia="Arial" w:cs="Arial"/>
              </w:rPr>
            </w:r>
            <w:r>
              <w:rPr>
                <w:rFonts w:ascii="Arial" w:hAnsi="Arial" w:eastAsia="Arial" w:cs="Arial"/>
                <w:b w:val="0"/>
                <w:sz w:val="18"/>
              </w:rPr>
              <w:t>Đi ngang/tích lũy</w:t>
            </w:r>
          </w:p>
        </w:tc>
        <w:tc>
          <w:tcPr>
            <w:tcW w:type="dxa" w:w="3456"/>
            <w:vAlign w:val="center"/>
          </w:tcPr>
          <w:p>
            <w:r>
              <w:rPr>
                <w:rFonts w:ascii="Arial" w:hAnsi="Arial" w:eastAsia="Arial" w:cs="Arial"/>
              </w:rPr>
            </w:r>
            <w:r>
              <w:rPr>
                <w:rFonts w:ascii="Arial" w:hAnsi="Arial" w:eastAsia="Arial" w:cs="Arial"/>
                <w:b w:val="0"/>
                <w:sz w:val="18"/>
              </w:rPr>
              <w:t>giá dưới VWAP, RSI quanh 50, cấu trúc chưa xác nhận xu hướng</w:t>
            </w:r>
          </w:p>
        </w:tc>
      </w:tr>
      <w:tr>
        <w:tc>
          <w:tcPr>
            <w:tcW w:type="dxa" w:w="3456"/>
            <w:vAlign w:val="center"/>
          </w:tcPr>
          <w:p>
            <w:r>
              <w:rPr>
                <w:rFonts w:ascii="Arial" w:hAnsi="Arial" w:eastAsia="Arial" w:cs="Arial"/>
              </w:rPr>
            </w:r>
            <w:r>
              <w:rPr>
                <w:rFonts w:ascii="Arial" w:hAnsi="Arial" w:eastAsia="Arial" w:cs="Arial"/>
                <w:b w:val="0"/>
                <w:sz w:val="18"/>
              </w:rPr>
              <w:t>Sức mạnh xu hướng</w:t>
            </w:r>
          </w:p>
        </w:tc>
        <w:tc>
          <w:tcPr>
            <w:tcW w:type="dxa" w:w="3456"/>
            <w:vAlign w:val="center"/>
          </w:tcPr>
          <w:p>
            <w:r>
              <w:rPr>
                <w:rFonts w:ascii="Arial" w:hAnsi="Arial" w:eastAsia="Arial" w:cs="Arial"/>
              </w:rPr>
            </w:r>
            <w:r>
              <w:rPr>
                <w:rFonts w:ascii="Arial" w:hAnsi="Arial" w:eastAsia="Arial" w:cs="Arial"/>
                <w:b w:val="0"/>
                <w:sz w:val="18"/>
              </w:rPr>
              <w:t>Yếu</w:t>
            </w:r>
          </w:p>
        </w:tc>
        <w:tc>
          <w:tcPr>
            <w:tcW w:type="dxa" w:w="3456"/>
            <w:vAlign w:val="center"/>
          </w:tcPr>
          <w:p>
            <w:r>
              <w:rPr>
                <w:rFonts w:ascii="Arial" w:hAnsi="Arial" w:eastAsia="Arial" w:cs="Arial"/>
              </w:rPr>
            </w:r>
            <w:r>
              <w:rPr>
                <w:rFonts w:ascii="Arial" w:hAnsi="Arial" w:eastAsia="Arial" w:cs="Arial"/>
                <w:b w:val="0"/>
                <w:sz w:val="18"/>
              </w:rPr>
              <w:t>Cấu trúc thị trường ngày: Sideway</w:t>
            </w:r>
          </w:p>
        </w:tc>
      </w:tr>
      <w:tr>
        <w:tc>
          <w:tcPr>
            <w:tcW w:type="dxa" w:w="3456"/>
            <w:vAlign w:val="center"/>
          </w:tcPr>
          <w:p>
            <w:r>
              <w:rPr>
                <w:rFonts w:ascii="Arial" w:hAnsi="Arial" w:eastAsia="Arial" w:cs="Arial"/>
              </w:rPr>
            </w:r>
            <w:r>
              <w:rPr>
                <w:rFonts w:ascii="Arial" w:hAnsi="Arial" w:eastAsia="Arial" w:cs="Arial"/>
                <w:b w:val="0"/>
                <w:sz w:val="18"/>
              </w:rPr>
              <w:t>Setup hệ thống</w:t>
            </w:r>
          </w:p>
        </w:tc>
        <w:tc>
          <w:tcPr>
            <w:tcW w:type="dxa" w:w="3456"/>
            <w:vAlign w:val="center"/>
          </w:tcPr>
          <w:p>
            <w:r>
              <w:rPr>
                <w:rFonts w:ascii="Arial" w:hAnsi="Arial" w:eastAsia="Arial" w:cs="Arial"/>
              </w:rPr>
            </w:r>
            <w:r>
              <w:rPr>
                <w:rFonts w:ascii="Arial" w:hAnsi="Arial" w:eastAsia="Arial" w:cs="Arial"/>
                <w:b w:val="0"/>
                <w:sz w:val="18"/>
              </w:rPr>
              <w:t>Chờ xác nhận</w:t>
            </w:r>
          </w:p>
        </w:tc>
        <w:tc>
          <w:tcPr>
            <w:tcW w:type="dxa" w:w="3456"/>
            <w:vAlign w:val="center"/>
          </w:tcPr>
          <w:p>
            <w:r>
              <w:rPr>
                <w:rFonts w:ascii="Arial" w:hAnsi="Arial" w:eastAsia="Arial" w:cs="Arial"/>
              </w:rPr>
            </w:r>
            <w:r>
              <w:rPr>
                <w:rFonts w:ascii="Arial" w:hAnsi="Arial" w:eastAsia="Arial" w:cs="Arial"/>
                <w:b w:val="0"/>
                <w:sz w:val="18"/>
              </w:rPr>
              <w:t>Zone: Trung tính; trạng thái volume: Volume trung bình</w:t>
            </w:r>
          </w:p>
        </w:tc>
      </w:tr>
      <w:tr>
        <w:tc>
          <w:tcPr>
            <w:tcW w:type="dxa" w:w="3456"/>
            <w:vAlign w:val="center"/>
          </w:tcPr>
          <w:p>
            <w:r>
              <w:rPr>
                <w:rFonts w:ascii="Arial" w:hAnsi="Arial" w:eastAsia="Arial" w:cs="Arial"/>
              </w:rPr>
            </w:r>
            <w:r>
              <w:rPr>
                <w:rFonts w:ascii="Arial" w:hAnsi="Arial" w:eastAsia="Arial" w:cs="Arial"/>
                <w:b w:val="0"/>
                <w:sz w:val="18"/>
              </w:rPr>
              <w:t>Signal score / V3 score</w:t>
            </w:r>
          </w:p>
        </w:tc>
        <w:tc>
          <w:tcPr>
            <w:tcW w:type="dxa" w:w="3456"/>
            <w:vAlign w:val="center"/>
          </w:tcPr>
          <w:p>
            <w:r>
              <w:rPr>
                <w:rFonts w:ascii="Arial" w:hAnsi="Arial" w:eastAsia="Arial" w:cs="Arial"/>
              </w:rPr>
            </w:r>
            <w:r>
              <w:rPr>
                <w:rFonts w:ascii="Arial" w:hAnsi="Arial" w:eastAsia="Arial" w:cs="Arial"/>
                <w:b w:val="0"/>
                <w:sz w:val="18"/>
              </w:rPr>
              <w:t>5 (trend 1, momentum 2, volume 1, price 1) / 60.71/100</w:t>
            </w:r>
          </w:p>
        </w:tc>
        <w:tc>
          <w:tcPr>
            <w:tcW w:type="dxa" w:w="3456"/>
            <w:vAlign w:val="center"/>
          </w:tcPr>
          <w:p>
            <w:r>
              <w:rPr>
                <w:rFonts w:ascii="Arial" w:hAnsi="Arial" w:eastAsia="Arial" w:cs="Arial"/>
              </w:rPr>
            </w:r>
            <w:r>
              <w:rPr>
                <w:rFonts w:ascii="Arial" w:hAnsi="Arial" w:eastAsia="Arial" w:cs="Arial"/>
                <w:b w:val="0"/>
                <w:sz w:val="18"/>
              </w:rPr>
              <w:t>Điểm hệ thống LHInvestment — đối chiếu với điểm tổng hợp mục 1B</w:t>
            </w:r>
          </w:p>
        </w:tc>
      </w:tr>
      <w:tr>
        <w:tc>
          <w:tcPr>
            <w:tcW w:type="dxa" w:w="3456"/>
            <w:vAlign w:val="center"/>
          </w:tcPr>
          <w:p>
            <w:r>
              <w:rPr>
                <w:rFonts w:ascii="Arial" w:hAnsi="Arial" w:eastAsia="Arial" w:cs="Arial"/>
              </w:rPr>
            </w:r>
            <w:r>
              <w:rPr>
                <w:rFonts w:ascii="Arial" w:hAnsi="Arial" w:eastAsia="Arial" w:cs="Arial"/>
                <w:b w:val="0"/>
                <w:sz w:val="18"/>
              </w:rPr>
              <w:t>Phân kỳ RSI/MACD</w:t>
            </w:r>
          </w:p>
        </w:tc>
        <w:tc>
          <w:tcPr>
            <w:tcW w:type="dxa" w:w="3456"/>
            <w:vAlign w:val="center"/>
          </w:tcPr>
          <w:p>
            <w:r>
              <w:rPr>
                <w:rFonts w:ascii="Arial" w:hAnsi="Arial" w:eastAsia="Arial" w:cs="Arial"/>
              </w:rPr>
            </w:r>
            <w:r>
              <w:rPr>
                <w:rFonts w:ascii="Arial" w:hAnsi="Arial" w:eastAsia="Arial" w:cs="Arial"/>
                <w:b w:val="0"/>
                <w:sz w:val="18"/>
              </w:rPr>
              <w:t>Phân kỳ dương RSI/MACD</w:t>
            </w:r>
          </w:p>
        </w:tc>
        <w:tc>
          <w:tcPr>
            <w:tcW w:type="dxa" w:w="3456"/>
            <w:vAlign w:val="center"/>
          </w:tcPr>
          <w:p>
            <w:r>
              <w:rPr>
                <w:rFonts w:ascii="Arial" w:hAnsi="Arial" w:eastAsia="Arial" w:cs="Arial"/>
              </w:rPr>
            </w:r>
            <w:r>
              <w:rPr>
                <w:rFonts w:ascii="Arial" w:hAnsi="Arial" w:eastAsia="Arial" w:cs="Arial"/>
                <w:b w:val="0"/>
                <w:sz w:val="18"/>
              </w:rPr>
              <w:t>Giá tạo 2 đáy nhưng RSI/MACD yếu bán giảm dần — theo dõi đảo chiều, chưa mua độc lập</w:t>
            </w:r>
          </w:p>
        </w:tc>
      </w:tr>
      <w:tr>
        <w:tc>
          <w:tcPr>
            <w:tcW w:type="dxa" w:w="3456"/>
            <w:vAlign w:val="center"/>
          </w:tcPr>
          <w:p>
            <w:r>
              <w:rPr>
                <w:rFonts w:ascii="Arial" w:hAnsi="Arial" w:eastAsia="Arial" w:cs="Arial"/>
              </w:rPr>
            </w:r>
            <w:r>
              <w:rPr>
                <w:rFonts w:ascii="Arial" w:hAnsi="Arial" w:eastAsia="Arial" w:cs="Arial"/>
                <w:b w:val="0"/>
                <w:sz w:val="18"/>
              </w:rPr>
              <w:t>Ichimoku</w:t>
            </w:r>
          </w:p>
        </w:tc>
        <w:tc>
          <w:tcPr>
            <w:tcW w:type="dxa" w:w="3456"/>
            <w:vAlign w:val="center"/>
          </w:tcPr>
          <w:p>
            <w:r>
              <w:rPr>
                <w:rFonts w:ascii="Arial" w:hAnsi="Arial" w:eastAsia="Arial" w:cs="Arial"/>
              </w:rPr>
            </w:r>
            <w:r>
              <w:rPr>
                <w:rFonts w:ascii="Arial" w:hAnsi="Arial" w:eastAsia="Arial" w:cs="Arial"/>
                <w:b w:val="0"/>
                <w:sz w:val="18"/>
              </w:rPr>
              <w:t>Tenkan 26.95; Kijun 27.17; mây 27.74–28</w:t>
            </w:r>
          </w:p>
        </w:tc>
        <w:tc>
          <w:tcPr>
            <w:tcW w:type="dxa" w:w="3456"/>
            <w:vAlign w:val="center"/>
          </w:tcPr>
          <w:p>
            <w:r>
              <w:rPr>
                <w:rFonts w:ascii="Arial" w:hAnsi="Arial" w:eastAsia="Arial" w:cs="Arial"/>
              </w:rPr>
            </w:r>
            <w:r>
              <w:rPr>
                <w:rFonts w:ascii="Arial" w:hAnsi="Arial" w:eastAsia="Arial" w:cs="Arial"/>
                <w:b w:val="0"/>
                <w:sz w:val="18"/>
              </w:rPr>
              <w:t>Trạng thái below_cloud: giá dưới mây — xu hướng trung hạn chưa ủng hộ</w:t>
            </w:r>
          </w:p>
        </w:tc>
      </w:tr>
      <w:tr>
        <w:tc>
          <w:tcPr>
            <w:tcW w:type="dxa" w:w="3456"/>
            <w:vAlign w:val="center"/>
          </w:tcPr>
          <w:p>
            <w:r>
              <w:rPr>
                <w:rFonts w:ascii="Arial" w:hAnsi="Arial" w:eastAsia="Arial" w:cs="Arial"/>
              </w:rPr>
            </w:r>
            <w:r>
              <w:rPr>
                <w:rFonts w:ascii="Arial" w:hAnsi="Arial" w:eastAsia="Arial" w:cs="Arial"/>
                <w:b w:val="0"/>
                <w:sz w:val="18"/>
              </w:rPr>
              <w:t>VWAP ngày</w:t>
            </w:r>
          </w:p>
        </w:tc>
        <w:tc>
          <w:tcPr>
            <w:tcW w:type="dxa" w:w="3456"/>
            <w:vAlign w:val="center"/>
          </w:tcPr>
          <w:p>
            <w:r>
              <w:rPr>
                <w:rFonts w:ascii="Arial" w:hAnsi="Arial" w:eastAsia="Arial" w:cs="Arial"/>
              </w:rPr>
            </w:r>
            <w:r>
              <w:rPr>
                <w:rFonts w:ascii="Arial" w:hAnsi="Arial" w:eastAsia="Arial" w:cs="Arial"/>
                <w:b w:val="0"/>
                <w:sz w:val="18"/>
              </w:rPr>
              <w:t>27.9</w:t>
            </w:r>
          </w:p>
        </w:tc>
        <w:tc>
          <w:tcPr>
            <w:tcW w:type="dxa" w:w="3456"/>
            <w:vAlign w:val="center"/>
          </w:tcPr>
          <w:p>
            <w:r>
              <w:rPr>
                <w:rFonts w:ascii="Arial" w:hAnsi="Arial" w:eastAsia="Arial" w:cs="Arial"/>
              </w:rPr>
            </w:r>
            <w:r>
              <w:rPr>
                <w:rFonts w:ascii="Arial" w:hAnsi="Arial" w:eastAsia="Arial" w:cs="Arial"/>
                <w:b w:val="0"/>
                <w:sz w:val="18"/>
              </w:rPr>
              <w:t>Giá so với VWAP phản ánh lực mua/bán bình quân phiên</w:t>
            </w:r>
          </w:p>
        </w:tc>
      </w:tr>
      <w:tr>
        <w:tc>
          <w:tcPr>
            <w:tcW w:type="dxa" w:w="3456"/>
            <w:vAlign w:val="center"/>
          </w:tcPr>
          <w:p>
            <w:r>
              <w:rPr>
                <w:rFonts w:ascii="Arial" w:hAnsi="Arial" w:eastAsia="Arial" w:cs="Arial"/>
              </w:rPr>
            </w:r>
            <w:r>
              <w:rPr>
                <w:rFonts w:ascii="Arial" w:hAnsi="Arial" w:eastAsia="Arial" w:cs="Arial"/>
                <w:b w:val="0"/>
                <w:sz w:val="18"/>
              </w:rPr>
              <w:t>Risk/Reward</w:t>
            </w:r>
          </w:p>
        </w:tc>
        <w:tc>
          <w:tcPr>
            <w:tcW w:type="dxa" w:w="3456"/>
            <w:vAlign w:val="center"/>
          </w:tcPr>
          <w:p>
            <w:r>
              <w:rPr>
                <w:rFonts w:ascii="Arial" w:hAnsi="Arial" w:eastAsia="Arial" w:cs="Arial"/>
              </w:rPr>
            </w:r>
            <w:r>
              <w:rPr>
                <w:rFonts w:ascii="Arial" w:hAnsi="Arial" w:eastAsia="Arial" w:cs="Arial"/>
                <w:b w:val="0"/>
                <w:sz w:val="18"/>
              </w:rPr>
              <w:t>1.29</w:t>
            </w:r>
          </w:p>
        </w:tc>
        <w:tc>
          <w:tcPr>
            <w:tcW w:type="dxa" w:w="3456"/>
            <w:vAlign w:val="center"/>
          </w:tcPr>
          <w:p>
            <w:r>
              <w:rPr>
                <w:rFonts w:ascii="Arial" w:hAnsi="Arial" w:eastAsia="Arial" w:cs="Arial"/>
              </w:rPr>
            </w:r>
            <w:r>
              <w:rPr>
                <w:rFonts w:ascii="Arial" w:hAnsi="Arial" w:eastAsia="Arial" w:cs="Arial"/>
                <w:b w:val="0"/>
                <w:sz w:val="18"/>
              </w:rPr>
            </w:r>
          </w:p>
        </w:tc>
      </w:tr>
      <w:tr>
        <w:tc>
          <w:tcPr>
            <w:tcW w:type="dxa" w:w="3456"/>
            <w:vAlign w:val="center"/>
          </w:tcPr>
          <w:p>
            <w:r>
              <w:rPr>
                <w:rFonts w:ascii="Arial" w:hAnsi="Arial" w:eastAsia="Arial" w:cs="Arial"/>
              </w:rPr>
            </w:r>
            <w:r>
              <w:rPr>
                <w:rFonts w:ascii="Arial" w:hAnsi="Arial" w:eastAsia="Arial" w:cs="Arial"/>
                <w:b w:val="0"/>
                <w:sz w:val="18"/>
              </w:rPr>
              <w:t>Fibonacci (ngày)</w:t>
            </w:r>
          </w:p>
        </w:tc>
        <w:tc>
          <w:tcPr>
            <w:tcW w:type="dxa" w:w="3456"/>
            <w:vAlign w:val="center"/>
          </w:tcPr>
          <w:p>
            <w:r>
              <w:rPr>
                <w:rFonts w:ascii="Arial" w:hAnsi="Arial" w:eastAsia="Arial" w:cs="Arial"/>
              </w:rPr>
            </w:r>
            <w:r>
              <w:rPr>
                <w:rFonts w:ascii="Arial" w:hAnsi="Arial" w:eastAsia="Arial" w:cs="Arial"/>
                <w:b w:val="0"/>
                <w:sz w:val="18"/>
              </w:rPr>
              <w:t>36.08, 34, 32.32, 30.64, 28.25</w:t>
            </w:r>
          </w:p>
        </w:tc>
        <w:tc>
          <w:tcPr>
            <w:tcW w:type="dxa" w:w="3456"/>
            <w:vAlign w:val="center"/>
          </w:tcPr>
          <w:p>
            <w:r>
              <w:rPr>
                <w:rFonts w:ascii="Arial" w:hAnsi="Arial" w:eastAsia="Arial" w:cs="Arial"/>
              </w:rPr>
            </w:r>
            <w:r>
              <w:rPr>
                <w:rFonts w:ascii="Arial" w:hAnsi="Arial" w:eastAsia="Arial" w:cs="Arial"/>
                <w:b w:val="0"/>
                <w:sz w:val="18"/>
              </w:rPr>
              <w:t>Mốc gần giá nhất: 28.25 (+3.9% so với close 27.2); các mốc còn lại là vùng tham chiếu</w:t>
            </w:r>
          </w:p>
        </w:tc>
      </w:tr>
      <w:tr>
        <w:tc>
          <w:tcPr>
            <w:tcW w:type="dxa" w:w="3456"/>
            <w:vAlign w:val="center"/>
          </w:tcPr>
          <w:p>
            <w:r>
              <w:rPr>
                <w:rFonts w:ascii="Arial" w:hAnsi="Arial" w:eastAsia="Arial" w:cs="Arial"/>
              </w:rPr>
            </w:r>
            <w:r>
              <w:rPr>
                <w:rFonts w:ascii="Arial" w:hAnsi="Arial" w:eastAsia="Arial" w:cs="Arial"/>
                <w:b w:val="0"/>
                <w:sz w:val="18"/>
              </w:rPr>
              <w:t>Donchian (ngày)</w:t>
            </w:r>
          </w:p>
        </w:tc>
        <w:tc>
          <w:tcPr>
            <w:tcW w:type="dxa" w:w="3456"/>
            <w:vAlign w:val="center"/>
          </w:tcPr>
          <w:p>
            <w:r>
              <w:rPr>
                <w:rFonts w:ascii="Arial" w:hAnsi="Arial" w:eastAsia="Arial" w:cs="Arial"/>
              </w:rPr>
            </w:r>
            <w:r>
              <w:rPr>
                <w:rFonts w:ascii="Arial" w:hAnsi="Arial" w:eastAsia="Arial" w:cs="Arial"/>
                <w:b w:val="0"/>
                <w:sz w:val="18"/>
              </w:rPr>
              <w:t>High 29.2 / Mid 27.7 / Low 26.1</w:t>
            </w:r>
          </w:p>
        </w:tc>
        <w:tc>
          <w:tcPr>
            <w:tcW w:type="dxa" w:w="3456"/>
            <w:vAlign w:val="center"/>
          </w:tcPr>
          <w:p>
            <w:r>
              <w:rPr>
                <w:rFonts w:ascii="Arial" w:hAnsi="Arial" w:eastAsia="Arial" w:cs="Arial"/>
              </w:rPr>
            </w:r>
            <w:r>
              <w:rPr>
                <w:rFonts w:ascii="Arial" w:hAnsi="Arial" w:eastAsia="Arial" w:cs="Arial"/>
                <w:b w:val="0"/>
                <w:sz w:val="18"/>
              </w:rPr>
              <w:t>Kênh breakout 20 phiên</w:t>
            </w:r>
          </w:p>
        </w:tc>
      </w:tr>
    </w:tbl>
    <w:p>
      <w:pPr>
        <w:spacing w:after="80" w:line="252" w:lineRule="auto"/>
      </w:pPr>
    </w:p>
    <w:p>
      <w:pPr>
        <w:spacing w:after="80" w:line="252" w:lineRule="auto"/>
      </w:pPr>
      <w:r>
        <w:rPr>
          <w:b/>
          <w:sz w:val="24"/>
        </w:rPr>
        <w:t>3D. Strategy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r>
              <w:t>Chiến lược LHinvt</w:t>
            </w:r>
          </w:p>
        </w:tc>
        <w:tc>
          <w:tcPr>
            <w:tcW w:type="dxa" w:w="2592"/>
            <w:vAlign w:val="center"/>
            <w:shd w:fill="1F4E79"/>
          </w:tcPr>
          <w:p>
            <w:r>
              <w:t>Điều kiện chuẩn web/source</w:t>
            </w:r>
          </w:p>
        </w:tc>
        <w:tc>
          <w:tcPr>
            <w:tcW w:type="dxa" w:w="2592"/>
            <w:vAlign w:val="center"/>
            <w:shd w:fill="1F4E79"/>
          </w:tcPr>
          <w:p>
            <w:r>
              <w:t>Đánh giá SSI</w:t>
            </w:r>
          </w:p>
        </w:tc>
        <w:tc>
          <w:tcPr>
            <w:tcW w:type="dxa" w:w="2592"/>
            <w:vAlign w:val="center"/>
            <w:shd w:fill="1F4E79"/>
          </w:tcPr>
          <w:p>
            <w:r>
              <w:t>Kết luận</w:t>
            </w:r>
          </w:p>
        </w:tc>
      </w:tr>
      <w:tr>
        <w:tc>
          <w:tcPr>
            <w:tcW w:type="dxa" w:w="2592"/>
          </w:tcPr>
          <w:p>
            <w:pPr>
              <w:jc w:val="left"/>
            </w:pPr>
            <w:r>
              <w:t>Trend Pullback Pro</w:t>
            </w:r>
          </w:p>
        </w:tc>
        <w:tc>
          <w:tcPr>
            <w:tcW w:type="dxa" w:w="2592"/>
          </w:tcPr>
          <w:p>
            <w:pPr>
              <w:jc w:val="left"/>
            </w:pPr>
            <w:r>
              <w:t>Giá trên Ichimoku cloud; gần hỗ trợ ≤3%; RSI 48–62; MACD histogram hồi hoặc phân kỳ dương; không bearish divergence; volume không quá xấu.</w:t>
            </w:r>
          </w:p>
        </w:tc>
        <w:tc>
          <w:tcPr>
            <w:tcW w:type="dxa" w:w="2592"/>
          </w:tcPr>
          <w:p>
            <w:pPr>
              <w:jc w:val="left"/>
            </w:pPr>
            <w:r>
              <w:t>SSI dưới mây Ichimoku, dưới MA50/100/200; RSI ~52 đạt vùng nhưng trend/cloud không đạt; VolumeRatio 1,12 chỉ trung bình.</w:t>
            </w:r>
          </w:p>
        </w:tc>
        <w:tc>
          <w:tcPr>
            <w:tcW w:type="dxa" w:w="2592"/>
          </w:tcPr>
          <w:p>
            <w:pPr>
              <w:jc w:val="left"/>
            </w:pPr>
            <w:r>
              <w:t>Reject — thiếu điều kiện trend/above-cloud.</w:t>
            </w:r>
          </w:p>
        </w:tc>
      </w:tr>
      <w:tr>
        <w:tc>
          <w:tcPr>
            <w:tcW w:type="dxa" w:w="2592"/>
          </w:tcPr>
          <w:p>
            <w:pPr>
              <w:jc w:val="left"/>
            </w:pPr>
            <w:r>
              <w:t>Support Rebound Hunter</w:t>
            </w:r>
          </w:p>
        </w:tc>
        <w:tc>
          <w:tcPr>
            <w:tcW w:type="dxa" w:w="2592"/>
          </w:tcPr>
          <w:p>
            <w:pPr>
              <w:jc w:val="left"/>
            </w:pPr>
            <w:r>
              <w:t>A2/B2: gần hỗ trợ ≤2,5%; RSI thấp/≤45 hoặc above-cloud + RSI 48–62; %BB ≤0,55; WATCH cần MACD hist recovering; loại nếu bearish divergence.</w:t>
            </w:r>
          </w:p>
        </w:tc>
        <w:tc>
          <w:tcPr>
            <w:tcW w:type="dxa" w:w="2592"/>
          </w:tcPr>
          <w:p>
            <w:pPr>
              <w:jc w:val="left"/>
            </w:pPr>
            <w:r>
              <w:t>SSI gần hỗ trợ 26,3–26,6 nhưng RSI không thấp, không above-cloud; MACD trên signal nhưng chưa đủ bộ điều kiện A2/B2.</w:t>
            </w:r>
          </w:p>
        </w:tc>
        <w:tc>
          <w:tcPr>
            <w:tcW w:type="dxa" w:w="2592"/>
          </w:tcPr>
          <w:p>
            <w:pPr>
              <w:jc w:val="left"/>
            </w:pPr>
            <w:r>
              <w:t>Watch yếu — chưa đủ BUY, chỉ theo dõi phản ứng tại hỗ trợ.</w:t>
            </w:r>
          </w:p>
        </w:tc>
      </w:tr>
      <w:tr>
        <w:tc>
          <w:tcPr>
            <w:tcW w:type="dxa" w:w="2592"/>
          </w:tcPr>
          <w:p>
            <w:pPr>
              <w:jc w:val="left"/>
            </w:pPr>
            <w:r>
              <w:t>Shakeout Rebound</w:t>
            </w:r>
          </w:p>
        </w:tc>
        <w:tc>
          <w:tcPr>
            <w:tcW w:type="dxa" w:w="2592"/>
          </w:tcPr>
          <w:p>
            <w:pPr>
              <w:jc w:val="left"/>
            </w:pPr>
            <w:r>
              <w:t>Cần nhịp thủng hỗ trợ cũ 2–4,5%, sau đó 1–3 nến reclaim/rebound; tránh gap xấu; stop theo vùng hỗ trợ.</w:t>
            </w:r>
          </w:p>
        </w:tc>
        <w:tc>
          <w:tcPr>
            <w:tcW w:type="dxa" w:w="2592"/>
          </w:tcPr>
          <w:p>
            <w:pPr>
              <w:jc w:val="left"/>
            </w:pPr>
            <w:r>
              <w:t>Chưa có bằng chứng wash-out/reclaim rõ trong dữ liệu hiện tại; giá chỉ đang gần hỗ trợ.</w:t>
            </w:r>
          </w:p>
        </w:tc>
        <w:tc>
          <w:tcPr>
            <w:tcW w:type="dxa" w:w="2592"/>
          </w:tcPr>
          <w:p>
            <w:pPr>
              <w:jc w:val="left"/>
            </w:pPr>
            <w:r>
              <w:t>Reject hiện tại — chờ tín hiệu rũ bỏ và reclaim.</w:t>
            </w:r>
          </w:p>
        </w:tc>
      </w:tr>
      <w:tr>
        <w:tc>
          <w:tcPr>
            <w:tcW w:type="dxa" w:w="2592"/>
          </w:tcPr>
          <w:p>
            <w:pPr>
              <w:jc w:val="left"/>
            </w:pPr>
            <w:r>
              <w:t>LH4 Wave Entry</w:t>
            </w:r>
          </w:p>
        </w:tc>
        <w:tc>
          <w:tcPr>
            <w:tcW w:type="dxa" w:w="2592"/>
          </w:tcPr>
          <w:p>
            <w:pPr>
              <w:jc w:val="left"/>
            </w:pPr>
            <w:r>
              <w:t>Cần cấu trúc sóng/xu hướng và chất lượng trend-volume mạnh hơn; ưu tiên breakout/continuation có xác nhận.</w:t>
            </w:r>
          </w:p>
        </w:tc>
        <w:tc>
          <w:tcPr>
            <w:tcW w:type="dxa" w:w="2592"/>
          </w:tcPr>
          <w:p>
            <w:pPr>
              <w:jc w:val="left"/>
            </w:pPr>
            <w:r>
              <w:t>ADX 13,52 cho thấy trend yếu; giá dưới mây và dưới MA200, chưa có breakout qua 28,2–28,34.</w:t>
            </w:r>
          </w:p>
        </w:tc>
        <w:tc>
          <w:tcPr>
            <w:tcW w:type="dxa" w:w="2592"/>
          </w:tcPr>
          <w:p>
            <w:pPr>
              <w:jc w:val="left"/>
            </w:pPr>
            <w:r>
              <w:t>Reject — chưa có wave/trend entry.</w:t>
            </w:r>
          </w:p>
        </w:tc>
      </w:tr>
    </w:tbl>
    <w:p>
      <w:pPr>
        <w:spacing w:after="80" w:line="252" w:lineRule="auto"/>
      </w:pPr>
    </w:p>
    <w:p>
      <w:pPr>
        <w:spacing w:after="80" w:line="252" w:lineRule="auto"/>
      </w:pPr>
      <w:r>
        <w:rPr>
          <w:rFonts w:ascii="Arial" w:hAnsi="Arial" w:eastAsia="Arial" w:cs="Arial"/>
          <w:b/>
          <w:color w:val="17365D"/>
          <w:sz w:val="24"/>
        </w:rPr>
        <w:t>4. Vĩ mô / đánh giá / dữ liệu cơ bản</w:t>
      </w:r>
    </w:p>
    <w:p>
      <w:pPr>
        <w:spacing w:after="80" w:line="252" w:lineRule="auto"/>
      </w:pPr>
      <w:r>
        <w:rPr>
          <w:rFonts w:ascii="Arial" w:hAnsi="Arial" w:eastAsia="Arial" w:cs="Arial"/>
          <w:b/>
          <w:color w:val="915591"/>
          <w:sz w:val="24"/>
        </w:rPr>
        <w:t>4A. Vĩ mô hiện tại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r>
              <w:rPr>
                <w:rFonts w:ascii="Arial" w:hAnsi="Arial" w:eastAsia="Arial" w:cs="Arial"/>
              </w:rPr>
            </w:r>
            <w:r>
              <w:rPr>
                <w:rFonts w:ascii="Arial" w:hAnsi="Arial" w:eastAsia="Arial" w:cs="Arial"/>
                <w:b/>
                <w:color w:val="FFFFFF"/>
                <w:sz w:val="18"/>
              </w:rPr>
              <w:t>Vĩ mô hiện tại</w:t>
            </w:r>
          </w:p>
        </w:tc>
        <w:tc>
          <w:tcPr>
            <w:tcW w:type="dxa" w:w="2592"/>
            <w:vAlign w:val="center"/>
            <w:shd w:fill="1F4E79"/>
          </w:tcPr>
          <w:p>
            <w:r>
              <w:rPr>
                <w:rFonts w:ascii="Arial" w:hAnsi="Arial" w:eastAsia="Arial" w:cs="Arial"/>
              </w:rPr>
            </w:r>
            <w:r>
              <w:rPr>
                <w:rFonts w:ascii="Arial" w:hAnsi="Arial" w:eastAsia="Arial" w:cs="Arial"/>
                <w:b/>
                <w:color w:val="FFFFFF"/>
                <w:sz w:val="18"/>
              </w:rPr>
              <w:t>Giá trị mới nhất</w:t>
            </w:r>
          </w:p>
        </w:tc>
        <w:tc>
          <w:tcPr>
            <w:tcW w:type="dxa" w:w="2592"/>
            <w:vAlign w:val="center"/>
            <w:shd w:fill="1F4E79"/>
          </w:tcPr>
          <w:p>
            <w:r>
              <w:rPr>
                <w:rFonts w:ascii="Arial" w:hAnsi="Arial" w:eastAsia="Arial" w:cs="Arial"/>
              </w:rPr>
            </w:r>
            <w:r>
              <w:rPr>
                <w:rFonts w:ascii="Arial" w:hAnsi="Arial" w:eastAsia="Arial" w:cs="Arial"/>
                <w:b/>
                <w:color w:val="FFFFFF"/>
                <w:sz w:val="18"/>
              </w:rPr>
              <w:t>Mốc thời gian</w:t>
            </w:r>
          </w:p>
        </w:tc>
        <w:tc>
          <w:tcPr>
            <w:tcW w:type="dxa" w:w="2592"/>
            <w:vAlign w:val="center"/>
            <w:shd w:fill="1F4E79"/>
          </w:tcPr>
          <w:p>
            <w:r>
              <w:rPr>
                <w:rFonts w:ascii="Arial" w:hAnsi="Arial" w:eastAsia="Arial" w:cs="Arial"/>
              </w:rPr>
            </w:r>
            <w:r>
              <w:rPr>
                <w:rFonts w:ascii="Arial" w:hAnsi="Arial" w:eastAsia="Arial" w:cs="Arial"/>
                <w:b/>
                <w:color w:val="FFFFFF"/>
                <w:sz w:val="18"/>
              </w:rPr>
              <w:t>Nhận xét</w:t>
            </w:r>
          </w:p>
        </w:tc>
      </w:tr>
      <w:tr>
        <w:tc>
          <w:tcPr>
            <w:tcW w:type="dxa" w:w="2592"/>
            <w:vAlign w:val="center"/>
          </w:tcPr>
          <w:p>
            <w:r>
              <w:rPr>
                <w:rFonts w:ascii="Arial" w:hAnsi="Arial" w:eastAsia="Arial" w:cs="Arial"/>
              </w:rPr>
            </w:r>
            <w:r>
              <w:rPr>
                <w:rFonts w:ascii="Arial" w:hAnsi="Arial" w:eastAsia="Arial" w:cs="Arial"/>
                <w:b w:val="0"/>
                <w:sz w:val="18"/>
              </w:rPr>
              <w:t>Tăng trưởng</w:t>
            </w:r>
          </w:p>
        </w:tc>
        <w:tc>
          <w:tcPr>
            <w:tcW w:type="dxa" w:w="2592"/>
            <w:vAlign w:val="center"/>
          </w:tcPr>
          <w:p>
            <w:r>
              <w:rPr>
                <w:rFonts w:ascii="Arial" w:hAnsi="Arial" w:eastAsia="Arial" w:cs="Arial"/>
              </w:rPr>
            </w:r>
            <w:r>
              <w:rPr>
                <w:rFonts w:ascii="Arial" w:hAnsi="Arial" w:eastAsia="Arial" w:cs="Arial"/>
                <w:b w:val="0"/>
                <w:sz w:val="18"/>
              </w:rPr>
              <w:t>Tăng trưởng GDP (nội suy): 8.40% (2026-05); Sản xuất công nghiệp IIP (YoY): 8.79% (2026-05); Bán lẻ hàng hóa &amp; DV: 647057.00tỷ (2026-05); Xuất khẩu: 46929.00tr.USD (2026-05); FDI giải ngân (lũy kế): 7401.00tr.USD (2026-04)</w:t>
            </w:r>
          </w:p>
        </w:tc>
        <w:tc>
          <w:tcPr>
            <w:tcW w:type="dxa" w:w="2592"/>
            <w:vAlign w:val="center"/>
          </w:tcPr>
          <w:p>
            <w:r>
              <w:rPr>
                <w:rFonts w:ascii="Arial" w:hAnsi="Arial" w:eastAsia="Arial" w:cs="Arial"/>
              </w:rPr>
            </w:r>
            <w:r>
              <w:rPr>
                <w:rFonts w:ascii="Arial" w:hAnsi="Arial" w:eastAsia="Arial" w:cs="Arial"/>
                <w:b w:val="0"/>
                <w:sz w:val="18"/>
              </w:rPr>
              <w:t>2026-07-03</w:t>
            </w:r>
          </w:p>
        </w:tc>
        <w:tc>
          <w:tcPr>
            <w:tcW w:type="dxa" w:w="2592"/>
            <w:vAlign w:val="center"/>
          </w:tcPr>
          <w:p>
            <w:r>
              <w:rPr>
                <w:rFonts w:ascii="Arial" w:hAnsi="Arial" w:eastAsia="Arial" w:cs="Arial"/>
              </w:rPr>
            </w:r>
            <w:r>
              <w:rPr>
                <w:rFonts w:ascii="Arial" w:hAnsi="Arial" w:eastAsia="Arial" w:cs="Arial"/>
                <w:b w:val="0"/>
                <w:sz w:val="18"/>
              </w:rPr>
              <w:t>Tăng trưởng vẫn là nền hỗ trợ nếu GDP/IIP/bán lẻ/xuất khẩu giữ đà dương; cần theo dõi độ lan tỏa sang lợi nhuận doanh nghiệp</w:t>
            </w:r>
          </w:p>
        </w:tc>
      </w:tr>
      <w:tr>
        <w:tc>
          <w:tcPr>
            <w:tcW w:type="dxa" w:w="2592"/>
            <w:vAlign w:val="center"/>
          </w:tcPr>
          <w:p>
            <w:r>
              <w:rPr>
                <w:rFonts w:ascii="Arial" w:hAnsi="Arial" w:eastAsia="Arial" w:cs="Arial"/>
              </w:rPr>
            </w:r>
            <w:r>
              <w:rPr>
                <w:rFonts w:ascii="Arial" w:hAnsi="Arial" w:eastAsia="Arial" w:cs="Arial"/>
                <w:b w:val="0"/>
                <w:sz w:val="18"/>
              </w:rPr>
              <w:t>Lạm phát</w:t>
            </w:r>
          </w:p>
        </w:tc>
        <w:tc>
          <w:tcPr>
            <w:tcW w:type="dxa" w:w="2592"/>
            <w:vAlign w:val="center"/>
          </w:tcPr>
          <w:p>
            <w:r>
              <w:rPr>
                <w:rFonts w:ascii="Arial" w:hAnsi="Arial" w:eastAsia="Arial" w:cs="Arial"/>
              </w:rPr>
            </w:r>
            <w:r>
              <w:rPr>
                <w:rFonts w:ascii="Arial" w:hAnsi="Arial" w:eastAsia="Arial" w:cs="Arial"/>
                <w:b w:val="0"/>
                <w:sz w:val="18"/>
              </w:rPr>
              <w:t>Lạm phát CPI (YoY): 5.58% (2026-05); Lạm phát cơ bản (YoY): 4.67% (2026-05)</w:t>
            </w:r>
          </w:p>
        </w:tc>
        <w:tc>
          <w:tcPr>
            <w:tcW w:type="dxa" w:w="2592"/>
            <w:vAlign w:val="center"/>
          </w:tcPr>
          <w:p>
            <w:r>
              <w:rPr>
                <w:rFonts w:ascii="Arial" w:hAnsi="Arial" w:eastAsia="Arial" w:cs="Arial"/>
              </w:rPr>
            </w:r>
            <w:r>
              <w:rPr>
                <w:rFonts w:ascii="Arial" w:hAnsi="Arial" w:eastAsia="Arial" w:cs="Arial"/>
                <w:b w:val="0"/>
                <w:sz w:val="18"/>
              </w:rPr>
              <w:t>2026-07-03</w:t>
            </w:r>
          </w:p>
        </w:tc>
        <w:tc>
          <w:tcPr>
            <w:tcW w:type="dxa" w:w="2592"/>
            <w:vAlign w:val="center"/>
          </w:tcPr>
          <w:p>
            <w:r>
              <w:rPr>
                <w:rFonts w:ascii="Arial" w:hAnsi="Arial" w:eastAsia="Arial" w:cs="Arial"/>
              </w:rPr>
            </w:r>
            <w:r>
              <w:rPr>
                <w:rFonts w:ascii="Arial" w:hAnsi="Arial" w:eastAsia="Arial" w:cs="Arial"/>
                <w:b w:val="0"/>
                <w:sz w:val="18"/>
              </w:rPr>
              <w:t>Áp lực lạm phát tăng; CPI cao làm tăng rủi ro đánh giá và kỳ vọng lãi suất</w:t>
            </w:r>
          </w:p>
        </w:tc>
      </w:tr>
      <w:tr>
        <w:tc>
          <w:tcPr>
            <w:tcW w:type="dxa" w:w="2592"/>
            <w:vAlign w:val="center"/>
          </w:tcPr>
          <w:p>
            <w:r>
              <w:rPr>
                <w:rFonts w:ascii="Arial" w:hAnsi="Arial" w:eastAsia="Arial" w:cs="Arial"/>
              </w:rPr>
            </w:r>
            <w:r>
              <w:rPr>
                <w:rFonts w:ascii="Arial" w:hAnsi="Arial" w:eastAsia="Arial" w:cs="Arial"/>
                <w:b w:val="0"/>
                <w:sz w:val="18"/>
              </w:rPr>
              <w:t>Tiền tệ / thanh khoản</w:t>
            </w:r>
          </w:p>
        </w:tc>
        <w:tc>
          <w:tcPr>
            <w:tcW w:type="dxa" w:w="2592"/>
            <w:vAlign w:val="center"/>
          </w:tcPr>
          <w:p>
            <w:r>
              <w:rPr>
                <w:rFonts w:ascii="Arial" w:hAnsi="Arial" w:eastAsia="Arial" w:cs="Arial"/>
              </w:rPr>
            </w:r>
            <w:r>
              <w:rPr>
                <w:rFonts w:ascii="Arial" w:hAnsi="Arial" w:eastAsia="Arial" w:cs="Arial"/>
                <w:b w:val="0"/>
                <w:sz w:val="18"/>
              </w:rPr>
              <w:t>Tăng trưởng tín dụng (YoY): 17.96% (2026-04); Cung tiền M2 (YoY): 6.42% (2026-03); LS huy động 12T: 5.87% (2026-05); Lãi suất tái cấp vốn: 4.50% (2026-05)</w:t>
            </w:r>
          </w:p>
        </w:tc>
        <w:tc>
          <w:tcPr>
            <w:tcW w:type="dxa" w:w="2592"/>
            <w:vAlign w:val="center"/>
          </w:tcPr>
          <w:p>
            <w:r>
              <w:rPr>
                <w:rFonts w:ascii="Arial" w:hAnsi="Arial" w:eastAsia="Arial" w:cs="Arial"/>
              </w:rPr>
            </w:r>
            <w:r>
              <w:rPr>
                <w:rFonts w:ascii="Arial" w:hAnsi="Arial" w:eastAsia="Arial" w:cs="Arial"/>
                <w:b w:val="0"/>
                <w:sz w:val="18"/>
              </w:rPr>
              <w:t>2026-07-03</w:t>
            </w:r>
          </w:p>
        </w:tc>
        <w:tc>
          <w:tcPr>
            <w:tcW w:type="dxa" w:w="2592"/>
            <w:vAlign w:val="center"/>
          </w:tcPr>
          <w:p>
            <w:r>
              <w:rPr>
                <w:rFonts w:ascii="Arial" w:hAnsi="Arial" w:eastAsia="Arial" w:cs="Arial"/>
              </w:rPr>
            </w:r>
            <w:r>
              <w:rPr>
                <w:rFonts w:ascii="Arial" w:hAnsi="Arial" w:eastAsia="Arial" w:cs="Arial"/>
                <w:b w:val="0"/>
                <w:sz w:val="18"/>
              </w:rPr>
              <w:t>tín dụng chậm lại làm giảm lực đỡ dòng tiền; M2 giảm tốc là tín hiệu thận trọng; lãi suất huy động tăng gây áp lực chiết khấu</w:t>
            </w:r>
          </w:p>
        </w:tc>
      </w:tr>
      <w:tr>
        <w:tc>
          <w:tcPr>
            <w:tcW w:type="dxa" w:w="2592"/>
            <w:vAlign w:val="center"/>
          </w:tcPr>
          <w:p>
            <w:r>
              <w:rPr>
                <w:rFonts w:ascii="Arial" w:hAnsi="Arial" w:eastAsia="Arial" w:cs="Arial"/>
              </w:rPr>
            </w:r>
            <w:r>
              <w:rPr>
                <w:rFonts w:ascii="Arial" w:hAnsi="Arial" w:eastAsia="Arial" w:cs="Arial"/>
                <w:b w:val="0"/>
                <w:sz w:val="18"/>
              </w:rPr>
              <w:t>Tài khóa / đầu tư công</w:t>
            </w:r>
          </w:p>
        </w:tc>
        <w:tc>
          <w:tcPr>
            <w:tcW w:type="dxa" w:w="2592"/>
            <w:vAlign w:val="center"/>
          </w:tcPr>
          <w:p>
            <w:r>
              <w:rPr>
                <w:rFonts w:ascii="Arial" w:hAnsi="Arial" w:eastAsia="Arial" w:cs="Arial"/>
              </w:rPr>
            </w:r>
            <w:r>
              <w:rPr>
                <w:rFonts w:ascii="Arial" w:hAnsi="Arial" w:eastAsia="Arial" w:cs="Arial"/>
                <w:b w:val="0"/>
                <w:sz w:val="18"/>
              </w:rPr>
              <w:t>Đầu tư công (lũy kế 12T): 875.10nghìn tỷ (2026-05)</w:t>
            </w:r>
          </w:p>
        </w:tc>
        <w:tc>
          <w:tcPr>
            <w:tcW w:type="dxa" w:w="2592"/>
            <w:vAlign w:val="center"/>
          </w:tcPr>
          <w:p>
            <w:r>
              <w:rPr>
                <w:rFonts w:ascii="Arial" w:hAnsi="Arial" w:eastAsia="Arial" w:cs="Arial"/>
              </w:rPr>
            </w:r>
            <w:r>
              <w:rPr>
                <w:rFonts w:ascii="Arial" w:hAnsi="Arial" w:eastAsia="Arial" w:cs="Arial"/>
                <w:b w:val="0"/>
                <w:sz w:val="18"/>
              </w:rPr>
              <w:t>2026-07-03</w:t>
            </w:r>
          </w:p>
        </w:tc>
        <w:tc>
          <w:tcPr>
            <w:tcW w:type="dxa" w:w="2592"/>
            <w:vAlign w:val="center"/>
          </w:tcPr>
          <w:p>
            <w:r>
              <w:rPr>
                <w:rFonts w:ascii="Arial" w:hAnsi="Arial" w:eastAsia="Arial" w:cs="Arial"/>
              </w:rPr>
            </w:r>
            <w:r>
              <w:rPr>
                <w:rFonts w:ascii="Arial" w:hAnsi="Arial" w:eastAsia="Arial" w:cs="Arial"/>
                <w:b w:val="0"/>
                <w:sz w:val="18"/>
              </w:rPr>
              <w:t>Đầu tư công tăng là lực đỡ cho hạ tầng/vật liệu/KCN và tâm lý thị trường</w:t>
            </w:r>
          </w:p>
        </w:tc>
      </w:tr>
      <w:tr>
        <w:tc>
          <w:tcPr>
            <w:tcW w:type="dxa" w:w="2592"/>
            <w:vAlign w:val="center"/>
          </w:tcPr>
          <w:p>
            <w:r>
              <w:rPr>
                <w:rFonts w:ascii="Arial" w:hAnsi="Arial" w:eastAsia="Arial" w:cs="Arial"/>
              </w:rPr>
            </w:r>
            <w:r>
              <w:rPr>
                <w:rFonts w:ascii="Arial" w:hAnsi="Arial" w:eastAsia="Arial" w:cs="Arial"/>
                <w:b w:val="0"/>
                <w:sz w:val="18"/>
              </w:rPr>
              <w:t>Tỷ giá</w:t>
            </w:r>
          </w:p>
        </w:tc>
        <w:tc>
          <w:tcPr>
            <w:tcW w:type="dxa" w:w="2592"/>
            <w:vAlign w:val="center"/>
          </w:tcPr>
          <w:p>
            <w:r>
              <w:rPr>
                <w:rFonts w:ascii="Arial" w:hAnsi="Arial" w:eastAsia="Arial" w:cs="Arial"/>
              </w:rPr>
            </w:r>
            <w:r>
              <w:rPr>
                <w:rFonts w:ascii="Arial" w:hAnsi="Arial" w:eastAsia="Arial" w:cs="Arial"/>
                <w:b w:val="0"/>
                <w:sz w:val="18"/>
              </w:rPr>
              <w:t>Tỷ giá USD/VND: 26233.00VND (2026-05)</w:t>
            </w:r>
          </w:p>
        </w:tc>
        <w:tc>
          <w:tcPr>
            <w:tcW w:type="dxa" w:w="2592"/>
            <w:vAlign w:val="center"/>
          </w:tcPr>
          <w:p>
            <w:r>
              <w:rPr>
                <w:rFonts w:ascii="Arial" w:hAnsi="Arial" w:eastAsia="Arial" w:cs="Arial"/>
              </w:rPr>
            </w:r>
            <w:r>
              <w:rPr>
                <w:rFonts w:ascii="Arial" w:hAnsi="Arial" w:eastAsia="Arial" w:cs="Arial"/>
                <w:b w:val="0"/>
                <w:sz w:val="18"/>
              </w:rPr>
              <w:t>2026-07-03</w:t>
            </w:r>
          </w:p>
        </w:tc>
        <w:tc>
          <w:tcPr>
            <w:tcW w:type="dxa" w:w="2592"/>
            <w:vAlign w:val="center"/>
          </w:tcPr>
          <w:p>
            <w:r>
              <w:rPr>
                <w:rFonts w:ascii="Arial" w:hAnsi="Arial" w:eastAsia="Arial" w:cs="Arial"/>
              </w:rPr>
            </w:r>
            <w:r>
              <w:rPr>
                <w:rFonts w:ascii="Arial" w:hAnsi="Arial" w:eastAsia="Arial" w:cs="Arial"/>
                <w:b w:val="0"/>
                <w:sz w:val="18"/>
              </w:rPr>
              <w:t>Tỷ giá tăng tạo áp lực ngoại hối, chi phí nhập khẩu và dòng vốn</w:t>
            </w:r>
          </w:p>
        </w:tc>
      </w:tr>
    </w:tbl>
    <w:p>
      <w:pPr>
        <w:spacing w:after="80" w:line="252" w:lineRule="auto"/>
      </w:pPr>
    </w:p>
    <w:p>
      <w:pPr>
        <w:spacing w:after="80" w:line="252" w:lineRule="auto"/>
      </w:pPr>
      <w:r>
        <w:rPr>
          <w:rFonts w:ascii="Arial" w:hAnsi="Arial" w:eastAsia="Arial" w:cs="Arial"/>
          <w:b/>
          <w:color w:val="915591"/>
          <w:sz w:val="24"/>
        </w:rPr>
        <w:t>4B. Tác động đến cổ phiếu</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r>
              <w:rPr>
                <w:rFonts w:ascii="Arial" w:hAnsi="Arial" w:eastAsia="Arial" w:cs="Arial"/>
              </w:rPr>
            </w:r>
            <w:r>
              <w:rPr>
                <w:rFonts w:ascii="Arial" w:hAnsi="Arial" w:eastAsia="Arial" w:cs="Arial"/>
                <w:b/>
                <w:color w:val="FFFFFF"/>
                <w:sz w:val="18"/>
              </w:rPr>
              <w:t>Yếu tố vĩ mô</w:t>
            </w:r>
          </w:p>
        </w:tc>
        <w:tc>
          <w:tcPr>
            <w:tcW w:type="dxa" w:w="2592"/>
            <w:vAlign w:val="center"/>
            <w:shd w:fill="1F4E79"/>
          </w:tcPr>
          <w:p>
            <w:r>
              <w:rPr>
                <w:rFonts w:ascii="Arial" w:hAnsi="Arial" w:eastAsia="Arial" w:cs="Arial"/>
              </w:rPr>
            </w:r>
            <w:r>
              <w:rPr>
                <w:rFonts w:ascii="Arial" w:hAnsi="Arial" w:eastAsia="Arial" w:cs="Arial"/>
                <w:b/>
                <w:color w:val="FFFFFF"/>
                <w:sz w:val="18"/>
              </w:rPr>
              <w:t>Diễn biến hiện tại/2026</w:t>
            </w:r>
          </w:p>
        </w:tc>
        <w:tc>
          <w:tcPr>
            <w:tcW w:type="dxa" w:w="2592"/>
            <w:vAlign w:val="center"/>
            <w:shd w:fill="1F4E79"/>
          </w:tcPr>
          <w:p>
            <w:r>
              <w:rPr>
                <w:rFonts w:ascii="Arial" w:hAnsi="Arial" w:eastAsia="Arial" w:cs="Arial"/>
              </w:rPr>
            </w:r>
            <w:r>
              <w:rPr>
                <w:rFonts w:ascii="Arial" w:hAnsi="Arial" w:eastAsia="Arial" w:cs="Arial"/>
                <w:b/>
                <w:color w:val="FFFFFF"/>
                <w:sz w:val="18"/>
              </w:rPr>
              <w:t>Cơ chế tác động</w:t>
            </w:r>
          </w:p>
        </w:tc>
        <w:tc>
          <w:tcPr>
            <w:tcW w:type="dxa" w:w="2592"/>
            <w:vAlign w:val="center"/>
            <w:shd w:fill="1F4E79"/>
          </w:tcPr>
          <w:p>
            <w:r>
              <w:rPr>
                <w:rFonts w:ascii="Arial" w:hAnsi="Arial" w:eastAsia="Arial" w:cs="Arial"/>
              </w:rPr>
            </w:r>
            <w:r>
              <w:rPr>
                <w:rFonts w:ascii="Arial" w:hAnsi="Arial" w:eastAsia="Arial" w:cs="Arial"/>
                <w:b/>
                <w:color w:val="FFFFFF"/>
                <w:sz w:val="18"/>
              </w:rPr>
              <w:t>Nhóm ngành/cổ phiếu liên quan</w:t>
            </w:r>
          </w:p>
        </w:tc>
      </w:tr>
      <w:tr>
        <w:tc>
          <w:tcPr>
            <w:tcW w:type="dxa" w:w="2592"/>
            <w:vAlign w:val="center"/>
          </w:tcPr>
          <w:p>
            <w:r>
              <w:rPr>
                <w:rFonts w:ascii="Arial" w:hAnsi="Arial" w:eastAsia="Arial" w:cs="Arial"/>
              </w:rPr>
            </w:r>
            <w:r>
              <w:rPr>
                <w:rFonts w:ascii="Arial" w:hAnsi="Arial" w:eastAsia="Arial" w:cs="Arial"/>
                <w:b w:val="0"/>
                <w:sz w:val="18"/>
              </w:rPr>
              <w:t>Lạm phát CPI (YoY)</w:t>
            </w:r>
          </w:p>
        </w:tc>
        <w:tc>
          <w:tcPr>
            <w:tcW w:type="dxa" w:w="2592"/>
            <w:vAlign w:val="center"/>
          </w:tcPr>
          <w:p>
            <w:r>
              <w:rPr>
                <w:rFonts w:ascii="Arial" w:hAnsi="Arial" w:eastAsia="Arial" w:cs="Arial"/>
              </w:rPr>
            </w:r>
            <w:r>
              <w:rPr>
                <w:rFonts w:ascii="Arial" w:hAnsi="Arial" w:eastAsia="Arial" w:cs="Arial"/>
                <w:b w:val="0"/>
                <w:sz w:val="18"/>
              </w:rPr>
              <w:t>Biến động mới nhất 2026-05: 5.44 -&gt; 5.58; Δ +0.14 điểm %; tác động hiện tại -0.04% (tiêu cực)</w:t>
            </w:r>
          </w:p>
        </w:tc>
        <w:tc>
          <w:tcPr>
            <w:tcW w:type="dxa" w:w="2592"/>
            <w:vAlign w:val="center"/>
          </w:tcPr>
          <w:p>
            <w:r>
              <w:rPr>
                <w:rFonts w:ascii="Arial" w:hAnsi="Arial" w:eastAsia="Arial" w:cs="Arial"/>
              </w:rPr>
            </w:r>
            <w:r>
              <w:rPr>
                <w:rFonts w:ascii="Arial" w:hAnsi="Arial" w:eastAsia="Arial" w:cs="Arial"/>
                <w:b w:val="0"/>
                <w:sz w:val="18"/>
              </w:rPr>
              <w:t>Tương quan -0.32; nếu Lạm phát CPI (YoY) tăng 1%/1 điểm % thì SSI ước giảm 0.32%</w:t>
            </w:r>
          </w:p>
        </w:tc>
        <w:tc>
          <w:tcPr>
            <w:tcW w:type="dxa" w:w="2592"/>
            <w:vAlign w:val="center"/>
          </w:tcPr>
          <w:p>
            <w:r>
              <w:rPr>
                <w:rFonts w:ascii="Arial" w:hAnsi="Arial" w:eastAsia="Arial" w:cs="Arial"/>
              </w:rPr>
            </w:r>
            <w:r>
              <w:rPr>
                <w:rFonts w:ascii="Arial" w:hAnsi="Arial" w:eastAsia="Arial" w:cs="Arial"/>
                <w:b w:val="0"/>
                <w:sz w:val="18"/>
              </w:rPr>
              <w:t>Chứng khoán</w:t>
            </w:r>
          </w:p>
        </w:tc>
      </w:tr>
      <w:tr>
        <w:tc>
          <w:tcPr>
            <w:tcW w:type="dxa" w:w="2592"/>
            <w:vAlign w:val="center"/>
          </w:tcPr>
          <w:p>
            <w:r>
              <w:rPr>
                <w:rFonts w:ascii="Arial" w:hAnsi="Arial" w:eastAsia="Arial" w:cs="Arial"/>
              </w:rPr>
            </w:r>
            <w:r>
              <w:rPr>
                <w:rFonts w:ascii="Arial" w:hAnsi="Arial" w:eastAsia="Arial" w:cs="Arial"/>
                <w:b w:val="0"/>
                <w:sz w:val="18"/>
              </w:rPr>
              <w:t>Tiền gửi tổ chức (YoY)</w:t>
            </w:r>
          </w:p>
        </w:tc>
        <w:tc>
          <w:tcPr>
            <w:tcW w:type="dxa" w:w="2592"/>
            <w:vAlign w:val="center"/>
          </w:tcPr>
          <w:p>
            <w:r>
              <w:rPr>
                <w:rFonts w:ascii="Arial" w:hAnsi="Arial" w:eastAsia="Arial" w:cs="Arial"/>
              </w:rPr>
            </w:r>
            <w:r>
              <w:rPr>
                <w:rFonts w:ascii="Arial" w:hAnsi="Arial" w:eastAsia="Arial" w:cs="Arial"/>
                <w:b w:val="0"/>
                <w:sz w:val="18"/>
              </w:rPr>
              <w:t>Biến động mới nhất 2026-03: -20.25 -&gt; -20.03; Δ +0.22 điểm %; tác động hiện tại +0.06% (tích cực)</w:t>
            </w:r>
          </w:p>
        </w:tc>
        <w:tc>
          <w:tcPr>
            <w:tcW w:type="dxa" w:w="2592"/>
            <w:vAlign w:val="center"/>
          </w:tcPr>
          <w:p>
            <w:r>
              <w:rPr>
                <w:rFonts w:ascii="Arial" w:hAnsi="Arial" w:eastAsia="Arial" w:cs="Arial"/>
              </w:rPr>
            </w:r>
            <w:r>
              <w:rPr>
                <w:rFonts w:ascii="Arial" w:hAnsi="Arial" w:eastAsia="Arial" w:cs="Arial"/>
                <w:b w:val="0"/>
                <w:sz w:val="18"/>
              </w:rPr>
              <w:t>Tương quan +0.27; nếu Tiền gửi tổ chức (YoY) tăng 1%/1 điểm % thì SSI ước tăng 0.27%</w:t>
            </w:r>
          </w:p>
        </w:tc>
        <w:tc>
          <w:tcPr>
            <w:tcW w:type="dxa" w:w="2592"/>
            <w:vAlign w:val="center"/>
          </w:tcPr>
          <w:p>
            <w:r>
              <w:rPr>
                <w:rFonts w:ascii="Arial" w:hAnsi="Arial" w:eastAsia="Arial" w:cs="Arial"/>
              </w:rPr>
            </w:r>
            <w:r>
              <w:rPr>
                <w:rFonts w:ascii="Arial" w:hAnsi="Arial" w:eastAsia="Arial" w:cs="Arial"/>
                <w:b w:val="0"/>
                <w:sz w:val="18"/>
              </w:rPr>
              <w:t>Chứng khoán</w:t>
            </w:r>
          </w:p>
        </w:tc>
      </w:tr>
      <w:tr>
        <w:tc>
          <w:tcPr>
            <w:tcW w:type="dxa" w:w="2592"/>
            <w:vAlign w:val="center"/>
          </w:tcPr>
          <w:p>
            <w:r>
              <w:rPr>
                <w:rFonts w:ascii="Arial" w:hAnsi="Arial" w:eastAsia="Arial" w:cs="Arial"/>
              </w:rPr>
            </w:r>
            <w:r>
              <w:rPr>
                <w:rFonts w:ascii="Arial" w:hAnsi="Arial" w:eastAsia="Arial" w:cs="Arial"/>
                <w:b w:val="0"/>
                <w:sz w:val="18"/>
              </w:rPr>
              <w:t>Đầu tư công (lũy kế 12T)</w:t>
            </w:r>
          </w:p>
        </w:tc>
        <w:tc>
          <w:tcPr>
            <w:tcW w:type="dxa" w:w="2592"/>
            <w:vAlign w:val="center"/>
          </w:tcPr>
          <w:p>
            <w:r>
              <w:rPr>
                <w:rFonts w:ascii="Arial" w:hAnsi="Arial" w:eastAsia="Arial" w:cs="Arial"/>
              </w:rPr>
            </w:r>
            <w:r>
              <w:rPr>
                <w:rFonts w:ascii="Arial" w:hAnsi="Arial" w:eastAsia="Arial" w:cs="Arial"/>
                <w:b w:val="0"/>
                <w:sz w:val="18"/>
              </w:rPr>
              <w:t>Biến động mới nhất 2026-05: 868.20 -&gt; 875.10; Δ +0.79 % thay đổi; tác động hiện tại +0.17% (tích cực)</w:t>
            </w:r>
          </w:p>
        </w:tc>
        <w:tc>
          <w:tcPr>
            <w:tcW w:type="dxa" w:w="2592"/>
            <w:vAlign w:val="center"/>
          </w:tcPr>
          <w:p>
            <w:r>
              <w:rPr>
                <w:rFonts w:ascii="Arial" w:hAnsi="Arial" w:eastAsia="Arial" w:cs="Arial"/>
              </w:rPr>
            </w:r>
            <w:r>
              <w:rPr>
                <w:rFonts w:ascii="Arial" w:hAnsi="Arial" w:eastAsia="Arial" w:cs="Arial"/>
                <w:b w:val="0"/>
                <w:sz w:val="18"/>
              </w:rPr>
              <w:t>Tương quan +0.21; nếu Đầu tư công (lũy kế 12T) tăng 1%/1 điểm % thì SSI ước tăng 0.21%</w:t>
            </w:r>
          </w:p>
        </w:tc>
        <w:tc>
          <w:tcPr>
            <w:tcW w:type="dxa" w:w="2592"/>
            <w:vAlign w:val="center"/>
          </w:tcPr>
          <w:p>
            <w:r>
              <w:rPr>
                <w:rFonts w:ascii="Arial" w:hAnsi="Arial" w:eastAsia="Arial" w:cs="Arial"/>
              </w:rPr>
            </w:r>
            <w:r>
              <w:rPr>
                <w:rFonts w:ascii="Arial" w:hAnsi="Arial" w:eastAsia="Arial" w:cs="Arial"/>
                <w:b w:val="0"/>
                <w:sz w:val="18"/>
              </w:rPr>
              <w:t>Chứng khoán</w:t>
            </w:r>
          </w:p>
        </w:tc>
      </w:tr>
    </w:tbl>
    <w:p>
      <w:pPr>
        <w:spacing w:after="80" w:line="252" w:lineRule="auto"/>
      </w:pPr>
    </w:p>
    <w:p>
      <w:pPr>
        <w:spacing w:after="80" w:line="252" w:lineRule="auto"/>
      </w:pPr>
      <w:r>
        <w:rPr>
          <w:rFonts w:ascii="Arial" w:hAnsi="Arial" w:eastAsia="Arial" w:cs="Arial"/>
          <w:b/>
          <w:color w:val="915591"/>
          <w:sz w:val="24"/>
        </w:rPr>
        <w:t>4C. Chỉ tiêu cơ bản &amp; đánh giá của cổ phiếu</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rFonts w:ascii="Arial" w:hAnsi="Arial" w:eastAsia="Arial" w:cs="Arial"/>
              </w:rPr>
            </w:r>
            <w:r>
              <w:rPr>
                <w:rFonts w:ascii="Arial" w:hAnsi="Arial" w:eastAsia="Arial" w:cs="Arial"/>
                <w:b/>
                <w:color w:val="FFFFFF"/>
                <w:sz w:val="18"/>
              </w:rPr>
              <w:t>Chỉ tiêu</w:t>
            </w:r>
          </w:p>
        </w:tc>
        <w:tc>
          <w:tcPr>
            <w:tcW w:type="dxa" w:w="5184"/>
            <w:vAlign w:val="center"/>
            <w:shd w:fill="1F4E79"/>
          </w:tcPr>
          <w:p>
            <w:r>
              <w:rPr>
                <w:rFonts w:ascii="Arial" w:hAnsi="Arial" w:eastAsia="Arial" w:cs="Arial"/>
              </w:rPr>
            </w:r>
            <w:r>
              <w:rPr>
                <w:rFonts w:ascii="Arial" w:hAnsi="Arial" w:eastAsia="Arial" w:cs="Arial"/>
                <w:b/>
                <w:color w:val="FFFFFF"/>
                <w:sz w:val="18"/>
              </w:rPr>
              <w:t>Giá trị</w:t>
            </w:r>
          </w:p>
        </w:tc>
      </w:tr>
      <w:tr>
        <w:tc>
          <w:tcPr>
            <w:tcW w:type="dxa" w:w="5184"/>
            <w:vAlign w:val="center"/>
          </w:tcPr>
          <w:p>
            <w:r>
              <w:rPr>
                <w:rFonts w:ascii="Arial" w:hAnsi="Arial" w:eastAsia="Arial" w:cs="Arial"/>
              </w:rPr>
            </w:r>
            <w:r>
              <w:rPr>
                <w:rFonts w:ascii="Arial" w:hAnsi="Arial" w:eastAsia="Arial" w:cs="Arial"/>
                <w:b w:val="0"/>
                <w:sz w:val="18"/>
              </w:rPr>
              <w:t>Giá mục tiêu</w:t>
            </w:r>
          </w:p>
        </w:tc>
        <w:tc>
          <w:tcPr>
            <w:tcW w:type="dxa" w:w="5184"/>
            <w:vAlign w:val="center"/>
          </w:tcPr>
          <w:p>
            <w:r>
              <w:rPr>
                <w:rFonts w:ascii="Arial" w:hAnsi="Arial" w:eastAsia="Arial" w:cs="Arial"/>
              </w:rPr>
            </w:r>
            <w:r>
              <w:rPr>
                <w:rFonts w:ascii="Arial" w:hAnsi="Arial" w:eastAsia="Arial" w:cs="Arial"/>
                <w:b w:val="0"/>
                <w:sz w:val="18"/>
              </w:rPr>
              <w:t>37.23 (CTCK DSCS, ngày 2026-03-16)</w:t>
            </w:r>
          </w:p>
        </w:tc>
      </w:tr>
      <w:tr>
        <w:tc>
          <w:tcPr>
            <w:tcW w:type="dxa" w:w="5184"/>
            <w:vAlign w:val="center"/>
          </w:tcPr>
          <w:p>
            <w:r>
              <w:rPr>
                <w:rFonts w:ascii="Arial" w:hAnsi="Arial" w:eastAsia="Arial" w:cs="Arial"/>
              </w:rPr>
            </w:r>
            <w:r>
              <w:rPr>
                <w:rFonts w:ascii="Arial" w:hAnsi="Arial" w:eastAsia="Arial" w:cs="Arial"/>
                <w:b w:val="0"/>
                <w:sz w:val="18"/>
              </w:rPr>
              <w:t>Upside</w:t>
            </w:r>
          </w:p>
        </w:tc>
        <w:tc>
          <w:tcPr>
            <w:tcW w:type="dxa" w:w="5184"/>
            <w:vAlign w:val="center"/>
          </w:tcPr>
          <w:p>
            <w:r>
              <w:rPr>
                <w:rFonts w:ascii="Arial" w:hAnsi="Arial" w:eastAsia="Arial" w:cs="Arial"/>
              </w:rPr>
            </w:r>
            <w:r>
              <w:rPr>
                <w:rFonts w:ascii="Arial" w:hAnsi="Arial" w:eastAsia="Arial" w:cs="Arial"/>
                <w:b w:val="0"/>
                <w:sz w:val="18"/>
              </w:rPr>
              <w:t>+36.9%</w:t>
            </w:r>
          </w:p>
        </w:tc>
      </w:tr>
      <w:tr>
        <w:tc>
          <w:tcPr>
            <w:tcW w:type="dxa" w:w="5184"/>
            <w:vAlign w:val="center"/>
          </w:tcPr>
          <w:p>
            <w:r>
              <w:rPr>
                <w:rFonts w:ascii="Arial" w:hAnsi="Arial" w:eastAsia="Arial" w:cs="Arial"/>
              </w:rPr>
            </w:r>
            <w:r>
              <w:rPr>
                <w:rFonts w:ascii="Arial" w:hAnsi="Arial" w:eastAsia="Arial" w:cs="Arial"/>
                <w:b w:val="0"/>
                <w:sz w:val="18"/>
              </w:rPr>
              <w:t>Báo cáo CTCK mới nhất</w:t>
            </w:r>
          </w:p>
        </w:tc>
        <w:tc>
          <w:tcPr>
            <w:tcW w:type="dxa" w:w="5184"/>
            <w:vAlign w:val="center"/>
          </w:tcPr>
          <w:p>
            <w:r>
              <w:rPr>
                <w:rFonts w:ascii="Arial" w:hAnsi="Arial" w:eastAsia="Arial" w:cs="Arial"/>
              </w:rPr>
            </w:r>
            <w:r>
              <w:rPr>
                <w:rFonts w:ascii="Arial" w:hAnsi="Arial" w:eastAsia="Arial" w:cs="Arial"/>
                <w:b w:val="0"/>
                <w:sz w:val="18"/>
              </w:rPr>
              <w:t>SSI (Q4/2025): Quy mô cho vay tăng trưởng</w:t>
            </w:r>
          </w:p>
        </w:tc>
      </w:tr>
      <w:tr>
        <w:tc>
          <w:tcPr>
            <w:tcW w:type="dxa" w:w="5184"/>
            <w:vAlign w:val="center"/>
          </w:tcPr>
          <w:p>
            <w:r>
              <w:rPr>
                <w:rFonts w:ascii="Arial" w:hAnsi="Arial" w:eastAsia="Arial" w:cs="Arial"/>
              </w:rPr>
            </w:r>
            <w:r>
              <w:rPr>
                <w:rFonts w:ascii="Arial" w:hAnsi="Arial" w:eastAsia="Arial" w:cs="Arial"/>
                <w:b w:val="0"/>
                <w:sz w:val="18"/>
              </w:rPr>
              <w:t>Báo cáo phân tích stock-news-backend</w:t>
            </w:r>
          </w:p>
        </w:tc>
        <w:tc>
          <w:tcPr>
            <w:tcW w:type="dxa" w:w="5184"/>
            <w:vAlign w:val="center"/>
          </w:tcPr>
          <w:p>
            <w:r>
              <w:rPr>
                <w:rFonts w:ascii="Arial" w:hAnsi="Arial" w:eastAsia="Arial" w:cs="Arial"/>
              </w:rPr>
            </w:r>
            <w:r>
              <w:rPr>
                <w:rFonts w:ascii="Arial" w:hAnsi="Arial" w:eastAsia="Arial" w:cs="Arial"/>
                <w:b w:val="0"/>
                <w:sz w:val="18"/>
              </w:rPr>
              <w:t>2026-03-16 - DSCS: SSI (Q4/2025): Quy mô cho vay tăng trưởng; target 37,228</w:t>
            </w:r>
          </w:p>
        </w:tc>
      </w:tr>
      <w:tr>
        <w:tc>
          <w:tcPr>
            <w:tcW w:type="dxa" w:w="5184"/>
            <w:vAlign w:val="center"/>
          </w:tcPr>
          <w:p>
            <w:r>
              <w:rPr>
                <w:rFonts w:ascii="Arial" w:hAnsi="Arial" w:eastAsia="Arial" w:cs="Arial"/>
              </w:rPr>
            </w:r>
            <w:r>
              <w:rPr>
                <w:rFonts w:ascii="Arial" w:hAnsi="Arial" w:eastAsia="Arial" w:cs="Arial"/>
                <w:b w:val="0"/>
                <w:sz w:val="18"/>
              </w:rPr>
              <w:t>Target từ phân tích (n=5)</w:t>
            </w:r>
          </w:p>
        </w:tc>
        <w:tc>
          <w:tcPr>
            <w:tcW w:type="dxa" w:w="5184"/>
            <w:vAlign w:val="center"/>
          </w:tcPr>
          <w:p>
            <w:r>
              <w:rPr>
                <w:rFonts w:ascii="Arial" w:hAnsi="Arial" w:eastAsia="Arial" w:cs="Arial"/>
              </w:rPr>
            </w:r>
            <w:r>
              <w:rPr>
                <w:rFonts w:ascii="Arial" w:hAnsi="Arial" w:eastAsia="Arial" w:cs="Arial"/>
                <w:b w:val="0"/>
                <w:sz w:val="18"/>
              </w:rPr>
              <w:t>trung bình 22,104; trung vị 36,000; upside so với giá tham chiếu +81163.2%</w:t>
            </w:r>
          </w:p>
        </w:tc>
      </w:tr>
    </w:tbl>
    <w:p>
      <w:pPr>
        <w:spacing w:after="80" w:line="252" w:lineRule="auto"/>
      </w:pPr>
    </w:p>
    <w:p>
      <w:pPr>
        <w:spacing w:after="80" w:line="252" w:lineRule="auto"/>
        <w:ind w:left="259" w:hanging="173"/>
      </w:pPr>
      <w:r>
        <w:rPr>
          <w:rFonts w:ascii="Arial" w:hAnsi="Arial" w:eastAsia="Arial" w:cs="Arial"/>
          <w:b/>
          <w:sz w:val="18"/>
        </w:rPr>
        <w:t xml:space="preserve">• </w:t>
      </w:r>
      <w:r>
        <w:rPr>
          <w:rFonts w:ascii="Arial" w:hAnsi="Arial" w:eastAsia="Arial" w:cs="Arial"/>
          <w:sz w:val="18"/>
        </w:rPr>
        <w:t>Business driver chính của doanh nghiệp/ngành</w:t>
      </w:r>
    </w:p>
    <w:p>
      <w:pPr>
        <w:spacing w:after="80" w:line="252" w:lineRule="auto"/>
        <w:ind w:left="259" w:hanging="173"/>
      </w:pPr>
      <w:r>
        <w:rPr>
          <w:rFonts w:ascii="Arial" w:hAnsi="Arial" w:eastAsia="Arial" w:cs="Arial"/>
          <w:b/>
          <w:sz w:val="18"/>
        </w:rPr>
        <w:t xml:space="preserve">• </w:t>
      </w:r>
      <w:r>
        <w:rPr>
          <w:rFonts w:ascii="Arial" w:hAnsi="Arial" w:eastAsia="Arial" w:cs="Arial"/>
          <w:sz w:val="18"/>
        </w:rPr>
        <w:t>Doanh thu môi giới, lãi cho vay margin và một phần hoạt động tự doanh chịu ảnh hưởng lớn từ thanh khoản và xu hướng VN-Index</w:t>
      </w:r>
    </w:p>
    <w:p>
      <w:pPr>
        <w:spacing w:after="80" w:line="252" w:lineRule="auto"/>
        <w:ind w:left="259" w:hanging="173"/>
      </w:pPr>
      <w:r>
        <w:rPr>
          <w:rFonts w:ascii="Arial" w:hAnsi="Arial" w:eastAsia="Arial" w:cs="Arial"/>
          <w:b/>
          <w:sz w:val="18"/>
        </w:rPr>
        <w:t xml:space="preserve">• </w:t>
      </w:r>
      <w:r>
        <w:rPr>
          <w:rFonts w:ascii="Arial" w:hAnsi="Arial" w:eastAsia="Arial" w:cs="Arial"/>
          <w:sz w:val="18"/>
        </w:rPr>
        <w:t>KQKD và triển vọng lợi nhuận nếu context có nguồn</w:t>
      </w:r>
    </w:p>
    <w:p>
      <w:pPr>
        <w:spacing w:after="80" w:line="252" w:lineRule="auto"/>
        <w:ind w:left="259" w:hanging="173"/>
      </w:pPr>
      <w:r>
        <w:rPr>
          <w:rFonts w:ascii="Arial" w:hAnsi="Arial" w:eastAsia="Arial" w:cs="Arial"/>
          <w:b/>
          <w:sz w:val="18"/>
        </w:rPr>
        <w:t xml:space="preserve">• </w:t>
      </w:r>
      <w:r>
        <w:rPr>
          <w:rFonts w:ascii="Arial" w:hAnsi="Arial" w:eastAsia="Arial" w:cs="Arial"/>
          <w:sz w:val="18"/>
        </w:rPr>
        <w:t>Context không cung cấp đầy đủ báo cáo tài chính quý/năm của SSI, không có doanh thu, lợi nhuận sau thuế, EPS hay ROE mới nhất</w:t>
      </w:r>
    </w:p>
    <w:p>
      <w:pPr>
        <w:spacing w:after="80" w:line="252" w:lineRule="auto"/>
        <w:ind w:left="259" w:hanging="173"/>
      </w:pPr>
      <w:r>
        <w:rPr>
          <w:rFonts w:ascii="Arial" w:hAnsi="Arial" w:eastAsia="Arial" w:cs="Arial"/>
          <w:b/>
          <w:sz w:val="18"/>
        </w:rPr>
        <w:t xml:space="preserve">• </w:t>
      </w:r>
      <w:r>
        <w:rPr>
          <w:rFonts w:ascii="Arial" w:hAnsi="Arial" w:eastAsia="Arial" w:cs="Arial"/>
          <w:sz w:val="18"/>
        </w:rPr>
        <w:t>Broker: DSCS</w:t>
      </w:r>
    </w:p>
    <w:p>
      <w:pPr>
        <w:spacing w:after="80" w:line="252" w:lineRule="auto"/>
        <w:ind w:left="259" w:hanging="173"/>
      </w:pPr>
      <w:r>
        <w:rPr>
          <w:rFonts w:ascii="Arial" w:hAnsi="Arial" w:eastAsia="Arial" w:cs="Arial"/>
          <w:b/>
          <w:sz w:val="18"/>
        </w:rPr>
        <w:t xml:space="preserve">• </w:t>
      </w:r>
      <w:r>
        <w:rPr>
          <w:rFonts w:ascii="Arial" w:hAnsi="Arial" w:eastAsia="Arial" w:cs="Arial"/>
          <w:sz w:val="18"/>
        </w:rPr>
        <w:t>Target price: 37.228 đồng/cp</w:t>
      </w:r>
    </w:p>
    <w:p>
      <w:r>
        <w:rPr>
          <w:b/>
          <w:sz w:val="24"/>
        </w:rPr>
        <w:t>5. Kịch bản đầu tư &amp; hành động chính</w:t>
      </w:r>
    </w:p>
    <w:tbl>
      <w:tblPr>
        <w:tblW w:type="auto" w:w="0"/>
        <w:tblLook w:firstColumn="1" w:firstRow="1" w:lastColumn="0" w:lastRow="0" w:noHBand="0" w:noVBand="1" w:val="04A0"/>
      </w:tblPr>
      <w:tblGrid>
        <w:gridCol w:w="2592"/>
        <w:gridCol w:w="2592"/>
        <w:gridCol w:w="2592"/>
        <w:gridCol w:w="2592"/>
      </w:tblGrid>
      <w:tr>
        <w:tc>
          <w:tcPr>
            <w:tcW w:type="dxa" w:w="2592"/>
          </w:tcPr>
          <w:p>
            <w:r>
              <w:t>Kịch bản</w:t>
            </w:r>
          </w:p>
        </w:tc>
        <w:tc>
          <w:tcPr>
            <w:tcW w:type="dxa" w:w="2592"/>
          </w:tcPr>
          <w:p>
            <w:r>
              <w:t>Điều kiện kích hoạt</w:t>
            </w:r>
          </w:p>
        </w:tc>
        <w:tc>
          <w:tcPr>
            <w:tcW w:type="dxa" w:w="2592"/>
          </w:tcPr>
          <w:p>
            <w:r>
              <w:t>Ý chính</w:t>
            </w:r>
          </w:p>
        </w:tc>
        <w:tc>
          <w:tcPr>
            <w:tcW w:type="dxa" w:w="2592"/>
          </w:tcPr>
          <w:p>
            <w:r>
              <w:t>Hành động</w:t>
            </w:r>
          </w:p>
        </w:tc>
      </w:tr>
      <w:tr>
        <w:tc>
          <w:tcPr>
            <w:tcW w:type="dxa" w:w="2592"/>
          </w:tcPr>
          <w:p>
            <w:r>
              <w:t>Bull</w:t>
            </w:r>
          </w:p>
        </w:tc>
        <w:tc>
          <w:tcPr>
            <w:tcW w:type="dxa" w:w="2592"/>
          </w:tcPr>
          <w:p>
            <w:r>
              <w:t>Vượt 28,2–28,34 với VolumeRatio &gt;1,2; RSI giữ &gt;50; MACD hist mở rộng.</w:t>
            </w:r>
          </w:p>
        </w:tc>
        <w:tc>
          <w:tcPr>
            <w:tcW w:type="dxa" w:w="2592"/>
          </w:tcPr>
          <w:p>
            <w:r>
              <w:t>Tin tăng vốn/lợi nhuận hỗ trợ sentiment; nếu thanh khoản thị trường tốt, SSI hưởng lợi margin + môi giới.</w:t>
            </w:r>
          </w:p>
        </w:tc>
        <w:tc>
          <w:tcPr>
            <w:tcW w:type="dxa" w:w="2592"/>
          </w:tcPr>
          <w:p>
            <w:r>
              <w:t>Chỉ nâng tỷ trọng sau breakout có volume; tránh mua đuổi nếu vượt kháng cự nhưng volume yếu.</w:t>
            </w:r>
          </w:p>
        </w:tc>
      </w:tr>
      <w:tr>
        <w:tc>
          <w:tcPr>
            <w:tcW w:type="dxa" w:w="2592"/>
          </w:tcPr>
          <w:p>
            <w:r>
              <w:t>Base</w:t>
            </w:r>
          </w:p>
        </w:tc>
        <w:tc>
          <w:tcPr>
            <w:tcW w:type="dxa" w:w="2592"/>
          </w:tcPr>
          <w:p>
            <w:r>
              <w:t>Dao động 26,3–28,2; chưa có breakdown/breakout rõ.</w:t>
            </w:r>
          </w:p>
        </w:tc>
        <w:tc>
          <w:tcPr>
            <w:tcW w:type="dxa" w:w="2592"/>
          </w:tcPr>
          <w:p>
            <w:r>
              <w:t>Kỹ thuật đang sideway yếu: ADX thấp, dưới mây/MA200; tin cơ bản tích cực nhưng chưa đủ xác nhận xu hướng.</w:t>
            </w:r>
          </w:p>
        </w:tc>
        <w:tc>
          <w:tcPr>
            <w:tcW w:type="dxa" w:w="2592"/>
          </w:tcPr>
          <w:p>
            <w:r>
              <w:t>Giữ Watch. Ưu tiên chờ giữ hỗ trợ 26,3–26,6 hoặc breakout 28,2.</w:t>
            </w:r>
          </w:p>
        </w:tc>
      </w:tr>
      <w:tr>
        <w:tc>
          <w:tcPr>
            <w:tcW w:type="dxa" w:w="2592"/>
          </w:tcPr>
          <w:p>
            <w:r>
              <w:t>Bear</w:t>
            </w:r>
          </w:p>
        </w:tc>
        <w:tc>
          <w:tcPr>
            <w:tcW w:type="dxa" w:w="2592"/>
          </w:tcPr>
          <w:p>
            <w:r>
              <w:t>Thủng 26,3 hoặc MACD/RSI suy yếu; volume bán tăng.</w:t>
            </w:r>
          </w:p>
        </w:tc>
        <w:tc>
          <w:tcPr>
            <w:tcW w:type="dxa" w:w="2592"/>
          </w:tcPr>
          <w:p>
            <w:r>
              <w:t>Mất hỗ trợ ngắn hạn làm fail kịch bản rebound; rủi ro quay lại vùng thấp hơn do trend trung hạn chưa ủng hộ.</w:t>
            </w:r>
          </w:p>
        </w:tc>
        <w:tc>
          <w:tcPr>
            <w:tcW w:type="dxa" w:w="2592"/>
          </w:tcPr>
          <w:p>
            <w:r>
              <w:t>Reject/giảm rủi ro; không bắt đáy khi chưa reclaim hỗ trợ.</w:t>
            </w:r>
          </w:p>
        </w:tc>
      </w:tr>
      <w:tr>
        <w:tc>
          <w:tcPr>
            <w:tcW w:type="dxa" w:w="2592"/>
          </w:tcPr>
          <w:p>
            <w:r>
              <w:t>Catalyst cần theo dõi</w:t>
            </w:r>
          </w:p>
        </w:tc>
        <w:tc>
          <w:tcPr>
            <w:tcW w:type="dxa" w:w="2592"/>
          </w:tcPr>
          <w:p>
            <w:r>
              <w:t>KQKD Q2/2026, tiến độ tăng vốn/ESOP, thị phần môi giới, thanh khoản VNIndex.</w:t>
            </w:r>
          </w:p>
        </w:tc>
        <w:tc>
          <w:tcPr>
            <w:tcW w:type="dxa" w:w="2592"/>
          </w:tcPr>
          <w:p>
            <w:r>
              <w:t>Catalyst chỉ có giá trị nếu đi cùng giá + volume xác nhận.</w:t>
            </w:r>
          </w:p>
        </w:tc>
        <w:tc>
          <w:tcPr>
            <w:tcW w:type="dxa" w:w="2592"/>
          </w:tcPr>
          <w:p>
            <w:r>
              <w:t>Cập nhật sau mỗi phiên/tuần; đưa lại vào Strategy khi đủ điều kiện.</w:t>
            </w:r>
          </w:p>
        </w:tc>
      </w:tr>
    </w:tbl>
    <w:p>
      <w:pPr>
        <w:spacing w:after="80" w:line="252" w:lineRule="auto"/>
      </w:pPr>
      <w:r>
        <w:rPr>
          <w:rFonts w:ascii="Arial" w:hAnsi="Arial" w:eastAsia="Arial" w:cs="Arial"/>
          <w:b/>
          <w:color w:val="17365D"/>
          <w:sz w:val="24"/>
        </w:rPr>
        <w:t>7. Rủi ro &amp; quan điểm</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rFonts w:ascii="Arial" w:hAnsi="Arial" w:eastAsia="Arial" w:cs="Arial"/>
              </w:rPr>
            </w:r>
            <w:r>
              <w:rPr>
                <w:rFonts w:ascii="Arial" w:hAnsi="Arial" w:eastAsia="Arial" w:cs="Arial"/>
                <w:b/>
                <w:color w:val="FFFFFF"/>
                <w:sz w:val="18"/>
              </w:rPr>
              <w:t>Hạng mục rủi ro</w:t>
            </w:r>
          </w:p>
        </w:tc>
        <w:tc>
          <w:tcPr>
            <w:tcW w:type="dxa" w:w="3456"/>
            <w:vAlign w:val="center"/>
            <w:shd w:fill="1F4E79"/>
          </w:tcPr>
          <w:p>
            <w:r>
              <w:rPr>
                <w:rFonts w:ascii="Arial" w:hAnsi="Arial" w:eastAsia="Arial" w:cs="Arial"/>
              </w:rPr>
            </w:r>
            <w:r>
              <w:rPr>
                <w:rFonts w:ascii="Arial" w:hAnsi="Arial" w:eastAsia="Arial" w:cs="Arial"/>
                <w:b/>
                <w:color w:val="FFFFFF"/>
                <w:sz w:val="18"/>
              </w:rPr>
              <w:t>Dữ liệu cụ thể</w:t>
            </w:r>
          </w:p>
        </w:tc>
        <w:tc>
          <w:tcPr>
            <w:tcW w:type="dxa" w:w="3456"/>
            <w:vAlign w:val="center"/>
            <w:shd w:fill="1F4E79"/>
          </w:tcPr>
          <w:p>
            <w:r>
              <w:rPr>
                <w:rFonts w:ascii="Arial" w:hAnsi="Arial" w:eastAsia="Arial" w:cs="Arial"/>
              </w:rPr>
            </w:r>
            <w:r>
              <w:rPr>
                <w:rFonts w:ascii="Arial" w:hAnsi="Arial" w:eastAsia="Arial" w:cs="Arial"/>
                <w:b/>
                <w:color w:val="FFFFFF"/>
                <w:sz w:val="18"/>
              </w:rPr>
              <w:t>Quan điểm</w:t>
            </w:r>
          </w:p>
        </w:tc>
      </w:tr>
      <w:tr>
        <w:tc>
          <w:tcPr>
            <w:tcW w:type="dxa" w:w="3456"/>
            <w:vAlign w:val="center"/>
          </w:tcPr>
          <w:p>
            <w:r>
              <w:rPr>
                <w:rFonts w:ascii="Arial" w:hAnsi="Arial" w:eastAsia="Arial" w:cs="Arial"/>
              </w:rPr>
            </w:r>
            <w:r>
              <w:rPr>
                <w:rFonts w:ascii="Arial" w:hAnsi="Arial" w:eastAsia="Arial" w:cs="Arial"/>
                <w:b w:val="0"/>
                <w:sz w:val="18"/>
              </w:rPr>
              <w:t>Risk score</w:t>
            </w:r>
          </w:p>
        </w:tc>
        <w:tc>
          <w:tcPr>
            <w:tcW w:type="dxa" w:w="3456"/>
            <w:vAlign w:val="center"/>
          </w:tcPr>
          <w:p>
            <w:r>
              <w:rPr>
                <w:rFonts w:ascii="Arial" w:hAnsi="Arial" w:eastAsia="Arial" w:cs="Arial"/>
              </w:rPr>
            </w:r>
            <w:r>
              <w:rPr>
                <w:rFonts w:ascii="Arial" w:hAnsi="Arial" w:eastAsia="Arial" w:cs="Arial"/>
                <w:b w:val="0"/>
                <w:sz w:val="18"/>
              </w:rPr>
              <w:t>4/5 (3 yếu tố rủi ro)</w:t>
            </w:r>
          </w:p>
        </w:tc>
        <w:tc>
          <w:tcPr>
            <w:tcW w:type="dxa" w:w="3456"/>
            <w:vAlign w:val="center"/>
          </w:tcPr>
          <w:p>
            <w:r>
              <w:rPr>
                <w:rFonts w:ascii="Arial" w:hAnsi="Arial" w:eastAsia="Arial" w:cs="Arial"/>
              </w:rPr>
            </w:r>
            <w:r>
              <w:rPr>
                <w:rFonts w:ascii="Arial" w:hAnsi="Arial" w:eastAsia="Arial" w:cs="Arial"/>
                <w:b w:val="0"/>
                <w:sz w:val="18"/>
              </w:rPr>
              <w:t>ADX 13.52 dưới 20, xu hướng yếu/dễ nhiễu.; Giá dưới MA200 (30.46), xu hướng dài hạn chưa ủng hộ.; Giá dưới mây Ichimoku — xu hướng trung hạn chưa ủng hộ</w:t>
            </w:r>
          </w:p>
        </w:tc>
      </w:tr>
      <w:tr>
        <w:tc>
          <w:tcPr>
            <w:tcW w:type="dxa" w:w="3456"/>
            <w:vAlign w:val="center"/>
          </w:tcPr>
          <w:p>
            <w:r>
              <w:rPr>
                <w:rFonts w:ascii="Arial" w:hAnsi="Arial" w:eastAsia="Arial" w:cs="Arial"/>
              </w:rPr>
            </w:r>
            <w:r>
              <w:rPr>
                <w:rFonts w:ascii="Arial" w:hAnsi="Arial" w:eastAsia="Arial" w:cs="Arial"/>
                <w:b w:val="0"/>
                <w:sz w:val="18"/>
              </w:rPr>
              <w:t>Vùng giá</w:t>
            </w:r>
          </w:p>
        </w:tc>
        <w:tc>
          <w:tcPr>
            <w:tcW w:type="dxa" w:w="3456"/>
            <w:vAlign w:val="center"/>
          </w:tcPr>
          <w:p>
            <w:r>
              <w:rPr>
                <w:rFonts w:ascii="Arial" w:hAnsi="Arial" w:eastAsia="Arial" w:cs="Arial"/>
              </w:rPr>
            </w:r>
            <w:r>
              <w:rPr>
                <w:rFonts w:ascii="Arial" w:hAnsi="Arial" w:eastAsia="Arial" w:cs="Arial"/>
                <w:b w:val="0"/>
                <w:sz w:val="18"/>
              </w:rPr>
              <w:t>Close 27.2; hỗ trợ 26.6 (-2.2% so với giá); kháng cự 28.2 (+3.7% so với giá)</w:t>
            </w:r>
          </w:p>
        </w:tc>
        <w:tc>
          <w:tcPr>
            <w:tcW w:type="dxa" w:w="3456"/>
            <w:vAlign w:val="center"/>
          </w:tcPr>
          <w:p>
            <w:r>
              <w:rPr>
                <w:rFonts w:ascii="Arial" w:hAnsi="Arial" w:eastAsia="Arial" w:cs="Arial"/>
              </w:rPr>
            </w:r>
            <w:r>
              <w:rPr>
                <w:rFonts w:ascii="Arial" w:hAnsi="Arial" w:eastAsia="Arial" w:cs="Arial"/>
                <w:b w:val="0"/>
                <w:sz w:val="18"/>
              </w:rPr>
              <w:t>Không mua đuổi sát kháng cự nếu volume không xác nhận; mất hỗ trợ thì giảm rủi ro</w:t>
            </w:r>
          </w:p>
        </w:tc>
      </w:tr>
      <w:tr>
        <w:tc>
          <w:tcPr>
            <w:tcW w:type="dxa" w:w="3456"/>
            <w:vAlign w:val="center"/>
          </w:tcPr>
          <w:p>
            <w:r>
              <w:rPr>
                <w:rFonts w:ascii="Arial" w:hAnsi="Arial" w:eastAsia="Arial" w:cs="Arial"/>
              </w:rPr>
            </w:r>
            <w:r>
              <w:rPr>
                <w:rFonts w:ascii="Arial" w:hAnsi="Arial" w:eastAsia="Arial" w:cs="Arial"/>
                <w:b w:val="0"/>
                <w:sz w:val="18"/>
              </w:rPr>
              <w:t>Động lượng</w:t>
            </w:r>
          </w:p>
        </w:tc>
        <w:tc>
          <w:tcPr>
            <w:tcW w:type="dxa" w:w="3456"/>
            <w:vAlign w:val="center"/>
          </w:tcPr>
          <w:p>
            <w:r>
              <w:rPr>
                <w:rFonts w:ascii="Arial" w:hAnsi="Arial" w:eastAsia="Arial" w:cs="Arial"/>
              </w:rPr>
            </w:r>
            <w:r>
              <w:rPr>
                <w:rFonts w:ascii="Arial" w:hAnsi="Arial" w:eastAsia="Arial" w:cs="Arial"/>
                <w:b w:val="0"/>
                <w:sz w:val="18"/>
              </w:rPr>
              <w:t>RSI14 51.99; MACD -0.1727; signal -0.2033; hist 0.0306; ROC20 -0.37</w:t>
            </w:r>
          </w:p>
        </w:tc>
        <w:tc>
          <w:tcPr>
            <w:tcW w:type="dxa" w:w="3456"/>
            <w:vAlign w:val="center"/>
          </w:tcPr>
          <w:p>
            <w:r>
              <w:rPr>
                <w:rFonts w:ascii="Arial" w:hAnsi="Arial" w:eastAsia="Arial" w:cs="Arial"/>
              </w:rPr>
            </w:r>
            <w:r>
              <w:rPr>
                <w:rFonts w:ascii="Arial" w:hAnsi="Arial" w:eastAsia="Arial" w:cs="Arial"/>
                <w:b w:val="0"/>
                <w:sz w:val="18"/>
              </w:rPr>
              <w:t>Ưu tiên khi RSI &gt; 50 và MACD mở rộng; tránh khi histogram âm/mỏng và ROC yếu</w:t>
            </w:r>
          </w:p>
        </w:tc>
      </w:tr>
      <w:tr>
        <w:tc>
          <w:tcPr>
            <w:tcW w:type="dxa" w:w="3456"/>
            <w:vAlign w:val="center"/>
          </w:tcPr>
          <w:p>
            <w:r>
              <w:rPr>
                <w:rFonts w:ascii="Arial" w:hAnsi="Arial" w:eastAsia="Arial" w:cs="Arial"/>
              </w:rPr>
            </w:r>
            <w:r>
              <w:rPr>
                <w:rFonts w:ascii="Arial" w:hAnsi="Arial" w:eastAsia="Arial" w:cs="Arial"/>
                <w:b w:val="0"/>
                <w:sz w:val="18"/>
              </w:rPr>
              <w:t>Dòng tiền</w:t>
            </w:r>
          </w:p>
        </w:tc>
        <w:tc>
          <w:tcPr>
            <w:tcW w:type="dxa" w:w="3456"/>
            <w:vAlign w:val="center"/>
          </w:tcPr>
          <w:p>
            <w:r>
              <w:rPr>
                <w:rFonts w:ascii="Arial" w:hAnsi="Arial" w:eastAsia="Arial" w:cs="Arial"/>
              </w:rPr>
            </w:r>
            <w:r>
              <w:rPr>
                <w:rFonts w:ascii="Arial" w:hAnsi="Arial" w:eastAsia="Arial" w:cs="Arial"/>
                <w:b w:val="0"/>
                <w:sz w:val="18"/>
              </w:rPr>
              <w:t>Volume 14,723,800; AvgVol20 13,106,670; VolumeRatio 1.12; ADX 13.52; +DI 21.23; -DI 20.48</w:t>
            </w:r>
          </w:p>
        </w:tc>
        <w:tc>
          <w:tcPr>
            <w:tcW w:type="dxa" w:w="3456"/>
            <w:vAlign w:val="center"/>
          </w:tcPr>
          <w:p>
            <w:r>
              <w:rPr>
                <w:rFonts w:ascii="Arial" w:hAnsi="Arial" w:eastAsia="Arial" w:cs="Arial"/>
              </w:rPr>
            </w:r>
            <w:r>
              <w:rPr>
                <w:rFonts w:ascii="Arial" w:hAnsi="Arial" w:eastAsia="Arial" w:cs="Arial"/>
                <w:b w:val="0"/>
                <w:sz w:val="18"/>
              </w:rPr>
              <w:t>Breakout không có volume hoặc ADX yếu dễ là bull trap</w:t>
            </w:r>
          </w:p>
        </w:tc>
      </w:tr>
      <w:tr>
        <w:tc>
          <w:tcPr>
            <w:tcW w:type="dxa" w:w="3456"/>
            <w:vAlign w:val="center"/>
          </w:tcPr>
          <w:p>
            <w:r>
              <w:rPr>
                <w:rFonts w:ascii="Arial" w:hAnsi="Arial" w:eastAsia="Arial" w:cs="Arial"/>
              </w:rPr>
            </w:r>
            <w:r>
              <w:rPr>
                <w:rFonts w:ascii="Arial" w:hAnsi="Arial" w:eastAsia="Arial" w:cs="Arial"/>
                <w:b w:val="0"/>
                <w:sz w:val="18"/>
              </w:rPr>
              <w:t>Rủi ro dữ liệu</w:t>
            </w:r>
          </w:p>
        </w:tc>
        <w:tc>
          <w:tcPr>
            <w:tcW w:type="dxa" w:w="3456"/>
            <w:vAlign w:val="center"/>
          </w:tcPr>
          <w:p>
            <w:r>
              <w:rPr>
                <w:rFonts w:ascii="Arial" w:hAnsi="Arial" w:eastAsia="Arial" w:cs="Arial"/>
              </w:rPr>
            </w:r>
            <w:r>
              <w:rPr>
                <w:rFonts w:ascii="Arial" w:hAnsi="Arial" w:eastAsia="Arial" w:cs="Arial"/>
                <w:b w:val="0"/>
                <w:sz w:val="18"/>
              </w:rPr>
              <w:t>Chỉ tiêu cơ bản: 3; target CTCK phát hiện: 5; tin đã kiểm chứng: 8</w:t>
            </w:r>
          </w:p>
        </w:tc>
        <w:tc>
          <w:tcPr>
            <w:tcW w:type="dxa" w:w="3456"/>
            <w:vAlign w:val="center"/>
          </w:tcPr>
          <w:p>
            <w:r>
              <w:rPr>
                <w:rFonts w:ascii="Arial" w:hAnsi="Arial" w:eastAsia="Arial" w:cs="Arial"/>
              </w:rPr>
            </w:r>
            <w:r>
              <w:rPr>
                <w:rFonts w:ascii="Arial" w:hAnsi="Arial" w:eastAsia="Arial" w:cs="Arial"/>
                <w:b w:val="0"/>
                <w:sz w:val="18"/>
              </w:rPr>
              <w:t>Nếu target/news/fundamental thiếu, báo cáo chỉ dùng để watchlist</w:t>
            </w:r>
          </w:p>
        </w:tc>
      </w:tr>
    </w:tbl>
    <w:p>
      <w:pPr>
        <w:spacing w:after="80" w:line="252" w:lineRule="auto"/>
      </w:pPr>
    </w:p>
    <w:p>
      <w:pPr>
        <w:spacing w:after="80" w:line="252" w:lineRule="auto"/>
        <w:ind w:left="259" w:hanging="173"/>
      </w:pPr>
      <w:r>
        <w:rPr>
          <w:rFonts w:ascii="Arial" w:hAnsi="Arial" w:eastAsia="Arial" w:cs="Arial"/>
          <w:b/>
          <w:sz w:val="18"/>
        </w:rPr>
        <w:t xml:space="preserve">• </w:t>
      </w:r>
      <w:r>
        <w:rPr>
          <w:rFonts w:ascii="Arial" w:hAnsi="Arial" w:eastAsia="Arial" w:cs="Arial"/>
          <w:sz w:val="18"/>
        </w:rPr>
        <w:t>Kết luận rủi ro điều hành</w:t>
      </w:r>
    </w:p>
    <w:p>
      <w:pPr>
        <w:spacing w:after="80" w:line="252" w:lineRule="auto"/>
        <w:ind w:left="259" w:hanging="173"/>
      </w:pPr>
      <w:r>
        <w:rPr>
          <w:rFonts w:ascii="Arial" w:hAnsi="Arial" w:eastAsia="Arial" w:cs="Arial"/>
          <w:b/>
          <w:sz w:val="18"/>
        </w:rPr>
        <w:t xml:space="preserve">• </w:t>
      </w:r>
      <w:r>
        <w:rPr>
          <w:rFonts w:ascii="Arial" w:hAnsi="Arial" w:eastAsia="Arial" w:cs="Arial"/>
          <w:sz w:val="18"/>
        </w:rPr>
        <w:t>Stance hiện tại: Watch / Wait breakout</w:t>
      </w:r>
    </w:p>
    <w:p>
      <w:pPr>
        <w:spacing w:after="80" w:line="252" w:lineRule="auto"/>
        <w:ind w:left="259" w:hanging="173"/>
      </w:pPr>
      <w:r>
        <w:rPr>
          <w:rFonts w:ascii="Arial" w:hAnsi="Arial" w:eastAsia="Arial" w:cs="Arial"/>
          <w:b/>
          <w:sz w:val="18"/>
        </w:rPr>
        <w:t xml:space="preserve">• </w:t>
      </w:r>
      <w:r>
        <w:rPr>
          <w:rFonts w:ascii="Arial" w:hAnsi="Arial" w:eastAsia="Arial" w:cs="Arial"/>
          <w:sz w:val="18"/>
        </w:rPr>
        <w:t>Chỉ xem xét vị thế thăm dò nếu giá giữ được vùng hỗ trợ 26,3–26,6 và xuất hiện nến đảo chiều có thanh khoản xác nhận</w:t>
      </w:r>
    </w:p>
    <w:p>
      <w:pPr>
        <w:spacing w:after="80" w:line="252" w:lineRule="auto"/>
        <w:ind w:left="259" w:hanging="173"/>
      </w:pPr>
      <w:r>
        <w:rPr>
          <w:rFonts w:ascii="Arial" w:hAnsi="Arial" w:eastAsia="Arial" w:cs="Arial"/>
          <w:b/>
          <w:sz w:val="18"/>
        </w:rPr>
        <w:t xml:space="preserve">• </w:t>
      </w:r>
      <w:r>
        <w:rPr>
          <w:rFonts w:ascii="Arial" w:hAnsi="Arial" w:eastAsia="Arial" w:cs="Arial"/>
          <w:sz w:val="18"/>
        </w:rPr>
        <w:t>Tác động: thủ tục hành chính, rủi ro thấp</w:t>
      </w:r>
    </w:p>
    <w:p>
      <w:pPr>
        <w:spacing w:after="80" w:line="252" w:lineRule="auto"/>
        <w:ind w:left="259" w:hanging="173"/>
      </w:pPr>
      <w:r>
        <w:rPr>
          <w:rFonts w:ascii="Arial" w:hAnsi="Arial" w:eastAsia="Arial" w:cs="Arial"/>
          <w:b/>
          <w:sz w:val="18"/>
        </w:rPr>
        <w:t xml:space="preserve">• </w:t>
      </w:r>
      <w:r>
        <w:rPr>
          <w:rFonts w:ascii="Arial" w:hAnsi="Arial" w:eastAsia="Arial" w:cs="Arial"/>
          <w:sz w:val="18"/>
        </w:rPr>
        <w:t>Thanh khoản thị trường | 18.113,57 tỷ đồng | Pinetree | Quan trọng với nhóm chứng khoán</w:t>
      </w:r>
    </w:p>
    <w:p>
      <w:pPr>
        <w:spacing w:after="80" w:line="252" w:lineRule="auto"/>
        <w:ind w:left="259" w:hanging="173"/>
      </w:pPr>
      <w:r>
        <w:rPr>
          <w:rFonts w:ascii="Arial" w:hAnsi="Arial" w:eastAsia="Arial" w:cs="Arial"/>
          <w:b/>
          <w:sz w:val="18"/>
        </w:rPr>
        <w:t xml:space="preserve">• </w:t>
      </w:r>
      <w:r>
        <w:rPr>
          <w:rFonts w:ascii="Arial" w:hAnsi="Arial" w:eastAsia="Arial" w:cs="Arial"/>
          <w:sz w:val="18"/>
        </w:rPr>
        <w:t>Lãi suất qua đêm liên ngân hàng | 5,87% | Pinetree | Chi phí vốn/đánh giá cần theo dõi</w:t>
      </w:r>
    </w:p>
    <w:p>
      <w:pPr>
        <w:spacing w:after="80" w:line="252" w:lineRule="auto"/>
        <w:ind w:left="259" w:hanging="173"/>
      </w:pPr>
      <w:r>
        <w:rPr>
          <w:rFonts w:ascii="Arial" w:hAnsi="Arial" w:eastAsia="Arial" w:cs="Arial"/>
          <w:b/>
          <w:sz w:val="18"/>
        </w:rPr>
        <w:t xml:space="preserve">• </w:t>
      </w:r>
      <w:r>
        <w:rPr>
          <w:rFonts w:ascii="Arial" w:hAnsi="Arial" w:eastAsia="Arial" w:cs="Arial"/>
          <w:sz w:val="18"/>
        </w:rPr>
        <w:t>USD/VND | 26.462 | Pinetree | Rủi ro tỷ giá còn hiện hữu</w:t>
      </w:r>
    </w:p>
    <w:p>
      <w:pPr>
        <w:spacing w:after="80" w:line="252" w:lineRule="auto"/>
        <w:ind w:left="259" w:hanging="173"/>
      </w:pPr>
      <w:r>
        <w:rPr>
          <w:rFonts w:ascii="Arial" w:hAnsi="Arial" w:eastAsia="Arial" w:cs="Arial"/>
          <w:b/>
          <w:sz w:val="18"/>
        </w:rPr>
        <w:t xml:space="preserve">• </w:t>
      </w:r>
      <w:r>
        <w:rPr>
          <w:rFonts w:ascii="Arial" w:hAnsi="Arial" w:eastAsia="Arial" w:cs="Arial"/>
          <w:sz w:val="18"/>
        </w:rPr>
        <w:t>gồm reverse repo, tín phiếu, lãi suất chiết khấu/tái cấp vốn</w:t>
      </w:r>
    </w:p>
    <w:p>
      <w:pPr>
        <w:spacing w:after="80" w:line="252" w:lineRule="auto"/>
        <w:ind w:left="259" w:hanging="173"/>
      </w:pPr>
      <w:r>
        <w:rPr>
          <w:rFonts w:ascii="Arial" w:hAnsi="Arial" w:eastAsia="Arial" w:cs="Arial"/>
          <w:b/>
          <w:sz w:val="18"/>
        </w:rPr>
        <w:t xml:space="preserve">• </w:t>
      </w:r>
      <w:r>
        <w:rPr>
          <w:rFonts w:ascii="Arial" w:hAnsi="Arial" w:eastAsia="Arial" w:cs="Arial"/>
          <w:sz w:val="18"/>
        </w:rPr>
        <w:t>Technical risk — đánh giá PTKT</w:t>
      </w:r>
    </w:p>
    <w:p>
      <w:pPr>
        <w:spacing w:after="80" w:line="252" w:lineRule="auto"/>
        <w:ind w:left="259" w:hanging="173"/>
      </w:pPr>
      <w:r>
        <w:rPr>
          <w:rFonts w:ascii="Arial" w:hAnsi="Arial" w:eastAsia="Arial" w:cs="Arial"/>
          <w:b/>
          <w:sz w:val="18"/>
        </w:rPr>
        <w:t xml:space="preserve">• </w:t>
      </w:r>
      <w:r>
        <w:rPr>
          <w:rFonts w:ascii="Arial" w:hAnsi="Arial" w:eastAsia="Arial" w:cs="Arial"/>
          <w:sz w:val="18"/>
        </w:rPr>
        <w:t>Nếu thủng 26,3, cấu trúc hỗ trợ ngắn hạn hỏng và rủi ro kéo về 25,2 tăng rõ</w:t>
      </w:r>
    </w:p>
    <w:p>
      <w:pPr>
        <w:spacing w:after="80" w:line="252" w:lineRule="auto"/>
        <w:ind w:left="259" w:hanging="173"/>
      </w:pPr>
      <w:r>
        <w:rPr>
          <w:rFonts w:ascii="Arial" w:hAnsi="Arial" w:eastAsia="Arial" w:cs="Arial"/>
          <w:b/>
          <w:sz w:val="18"/>
        </w:rPr>
        <w:t xml:space="preserve">• </w:t>
      </w:r>
      <w:r>
        <w:rPr>
          <w:rFonts w:ascii="Arial" w:hAnsi="Arial" w:eastAsia="Arial" w:cs="Arial"/>
          <w:sz w:val="18"/>
        </w:rPr>
        <w:t>Rủi ro mua sớm là bị kẹp trong vùng 26,3–28,2</w:t>
      </w:r>
    </w:p>
    <w:p>
      <w:pPr>
        <w:spacing w:after="80" w:line="252" w:lineRule="auto"/>
        <w:ind w:left="259" w:hanging="173"/>
      </w:pPr>
      <w:r>
        <w:rPr>
          <w:rFonts w:ascii="Arial" w:hAnsi="Arial" w:eastAsia="Arial" w:cs="Arial"/>
          <w:b/>
          <w:sz w:val="18"/>
        </w:rPr>
        <w:t xml:space="preserve">• </w:t>
      </w:r>
      <w:r>
        <w:rPr>
          <w:rFonts w:ascii="Arial" w:hAnsi="Arial" w:eastAsia="Arial" w:cs="Arial"/>
          <w:sz w:val="18"/>
        </w:rPr>
        <w:t>Tín hiệu chỉ chuyển tích cực khi giá vượt lại 27,7–28,34 với thanh khoản xác nhận</w:t>
      </w:r>
    </w:p>
    <w:p>
      <w:pPr>
        <w:spacing w:after="80" w:line="252" w:lineRule="auto"/>
      </w:pPr>
      <w:r>
        <w:rPr>
          <w:rFonts w:ascii="Arial" w:hAnsi="Arial" w:eastAsia="Arial" w:cs="Arial"/>
          <w:b/>
          <w:color w:val="17365D"/>
          <w:sz w:val="24"/>
        </w:rPr>
        <w:t>8. Kế hoạch theo dõi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rFonts w:ascii="Arial" w:hAnsi="Arial" w:eastAsia="Arial" w:cs="Arial"/>
              </w:rPr>
            </w:r>
            <w:r>
              <w:rPr>
                <w:rFonts w:ascii="Arial" w:hAnsi="Arial" w:eastAsia="Arial" w:cs="Arial"/>
                <w:b/>
                <w:color w:val="FFFFFF"/>
                <w:sz w:val="18"/>
              </w:rPr>
              <w:t>Việc cần theo dõi</w:t>
            </w:r>
          </w:p>
        </w:tc>
        <w:tc>
          <w:tcPr>
            <w:tcW w:type="dxa" w:w="3456"/>
            <w:vAlign w:val="center"/>
            <w:shd w:fill="1F4E79"/>
          </w:tcPr>
          <w:p>
            <w:r>
              <w:rPr>
                <w:rFonts w:ascii="Arial" w:hAnsi="Arial" w:eastAsia="Arial" w:cs="Arial"/>
              </w:rPr>
            </w:r>
            <w:r>
              <w:rPr>
                <w:rFonts w:ascii="Arial" w:hAnsi="Arial" w:eastAsia="Arial" w:cs="Arial"/>
                <w:b/>
                <w:color w:val="FFFFFF"/>
                <w:sz w:val="18"/>
              </w:rPr>
              <w:t>Ngưỡng/số liệu cụ thể</w:t>
            </w:r>
          </w:p>
        </w:tc>
        <w:tc>
          <w:tcPr>
            <w:tcW w:type="dxa" w:w="3456"/>
            <w:vAlign w:val="center"/>
            <w:shd w:fill="1F4E79"/>
          </w:tcPr>
          <w:p>
            <w:r>
              <w:rPr>
                <w:rFonts w:ascii="Arial" w:hAnsi="Arial" w:eastAsia="Arial" w:cs="Arial"/>
              </w:rPr>
            </w:r>
            <w:r>
              <w:rPr>
                <w:rFonts w:ascii="Arial" w:hAnsi="Arial" w:eastAsia="Arial" w:cs="Arial"/>
                <w:b/>
                <w:color w:val="FFFFFF"/>
                <w:sz w:val="18"/>
              </w:rPr>
              <w:t>Hành động</w:t>
            </w:r>
          </w:p>
        </w:tc>
      </w:tr>
      <w:tr>
        <w:tc>
          <w:tcPr>
            <w:tcW w:type="dxa" w:w="3456"/>
            <w:vAlign w:val="center"/>
          </w:tcPr>
          <w:p>
            <w:r>
              <w:rPr>
                <w:rFonts w:ascii="Arial" w:hAnsi="Arial" w:eastAsia="Arial" w:cs="Arial"/>
              </w:rPr>
            </w:r>
            <w:r>
              <w:rPr>
                <w:rFonts w:ascii="Arial" w:hAnsi="Arial" w:eastAsia="Arial" w:cs="Arial"/>
                <w:b w:val="0"/>
                <w:sz w:val="18"/>
              </w:rPr>
              <w:t>Giá &amp; vùng kỹ thuật</w:t>
            </w:r>
          </w:p>
        </w:tc>
        <w:tc>
          <w:tcPr>
            <w:tcW w:type="dxa" w:w="3456"/>
            <w:vAlign w:val="center"/>
          </w:tcPr>
          <w:p>
            <w:r>
              <w:rPr>
                <w:rFonts w:ascii="Arial" w:hAnsi="Arial" w:eastAsia="Arial" w:cs="Arial"/>
              </w:rPr>
            </w:r>
            <w:r>
              <w:rPr>
                <w:rFonts w:ascii="Arial" w:hAnsi="Arial" w:eastAsia="Arial" w:cs="Arial"/>
                <w:b w:val="0"/>
                <w:sz w:val="18"/>
              </w:rPr>
              <w:t>Close 27.2; hỗ trợ 26.6 (-2.2%); kháng cự 28.2 (+3.7%); Bollinger 25.96/26.86/27.76; %B 0.69</w:t>
            </w:r>
          </w:p>
        </w:tc>
        <w:tc>
          <w:tcPr>
            <w:tcW w:type="dxa" w:w="3456"/>
            <w:vAlign w:val="center"/>
          </w:tcPr>
          <w:p>
            <w:r>
              <w:rPr>
                <w:rFonts w:ascii="Arial" w:hAnsi="Arial" w:eastAsia="Arial" w:cs="Arial"/>
              </w:rPr>
            </w:r>
            <w:r>
              <w:rPr>
                <w:rFonts w:ascii="Arial" w:hAnsi="Arial" w:eastAsia="Arial" w:cs="Arial"/>
                <w:b w:val="0"/>
                <w:sz w:val="18"/>
              </w:rPr>
              <w:t>Cập nhật mỗi phiên; chỉ quan sát mua khi giữ hỗ trợ hoặc breakout kháng cự có xác nhận</w:t>
            </w:r>
          </w:p>
        </w:tc>
      </w:tr>
      <w:tr>
        <w:tc>
          <w:tcPr>
            <w:tcW w:type="dxa" w:w="3456"/>
            <w:vAlign w:val="center"/>
          </w:tcPr>
          <w:p>
            <w:r>
              <w:rPr>
                <w:rFonts w:ascii="Arial" w:hAnsi="Arial" w:eastAsia="Arial" w:cs="Arial"/>
              </w:rPr>
            </w:r>
            <w:r>
              <w:rPr>
                <w:rFonts w:ascii="Arial" w:hAnsi="Arial" w:eastAsia="Arial" w:cs="Arial"/>
                <w:b w:val="0"/>
                <w:sz w:val="18"/>
              </w:rPr>
              <w:t>Động lượng</w:t>
            </w:r>
          </w:p>
        </w:tc>
        <w:tc>
          <w:tcPr>
            <w:tcW w:type="dxa" w:w="3456"/>
            <w:vAlign w:val="center"/>
          </w:tcPr>
          <w:p>
            <w:r>
              <w:rPr>
                <w:rFonts w:ascii="Arial" w:hAnsi="Arial" w:eastAsia="Arial" w:cs="Arial"/>
              </w:rPr>
            </w:r>
            <w:r>
              <w:rPr>
                <w:rFonts w:ascii="Arial" w:hAnsi="Arial" w:eastAsia="Arial" w:cs="Arial"/>
                <w:b w:val="0"/>
                <w:sz w:val="18"/>
              </w:rPr>
              <w:t>RSI14 51.99; MACD -0.1727; signal -0.2033; hist 0.0306</w:t>
            </w:r>
          </w:p>
        </w:tc>
        <w:tc>
          <w:tcPr>
            <w:tcW w:type="dxa" w:w="3456"/>
            <w:vAlign w:val="center"/>
          </w:tcPr>
          <w:p>
            <w:r>
              <w:rPr>
                <w:rFonts w:ascii="Arial" w:hAnsi="Arial" w:eastAsia="Arial" w:cs="Arial"/>
              </w:rPr>
            </w:r>
            <w:r>
              <w:rPr>
                <w:rFonts w:ascii="Arial" w:hAnsi="Arial" w:eastAsia="Arial" w:cs="Arial"/>
                <w:b w:val="0"/>
                <w:sz w:val="18"/>
              </w:rPr>
              <w:t>Trigger tích cực: RSI &gt; 50 và MACD cắt lên/mở rộng; trigger tiêu cực: RSI mất 45 hoặc MACD xấu đi</w:t>
            </w:r>
          </w:p>
        </w:tc>
      </w:tr>
      <w:tr>
        <w:tc>
          <w:tcPr>
            <w:tcW w:type="dxa" w:w="3456"/>
            <w:vAlign w:val="center"/>
          </w:tcPr>
          <w:p>
            <w:r>
              <w:rPr>
                <w:rFonts w:ascii="Arial" w:hAnsi="Arial" w:eastAsia="Arial" w:cs="Arial"/>
              </w:rPr>
            </w:r>
            <w:r>
              <w:rPr>
                <w:rFonts w:ascii="Arial" w:hAnsi="Arial" w:eastAsia="Arial" w:cs="Arial"/>
                <w:b w:val="0"/>
                <w:sz w:val="18"/>
              </w:rPr>
              <w:t>Dòng tiền</w:t>
            </w:r>
          </w:p>
        </w:tc>
        <w:tc>
          <w:tcPr>
            <w:tcW w:type="dxa" w:w="3456"/>
            <w:vAlign w:val="center"/>
          </w:tcPr>
          <w:p>
            <w:r>
              <w:rPr>
                <w:rFonts w:ascii="Arial" w:hAnsi="Arial" w:eastAsia="Arial" w:cs="Arial"/>
              </w:rPr>
            </w:r>
            <w:r>
              <w:rPr>
                <w:rFonts w:ascii="Arial" w:hAnsi="Arial" w:eastAsia="Arial" w:cs="Arial"/>
                <w:b w:val="0"/>
                <w:sz w:val="18"/>
              </w:rPr>
              <w:t>Volume 14,723,800; AvgVol20 13,106,670; VolumeRatio 1.12; ADX 13.52; +DI 21.23; -DI 20.48</w:t>
            </w:r>
          </w:p>
        </w:tc>
        <w:tc>
          <w:tcPr>
            <w:tcW w:type="dxa" w:w="3456"/>
            <w:vAlign w:val="center"/>
          </w:tcPr>
          <w:p>
            <w:r>
              <w:rPr>
                <w:rFonts w:ascii="Arial" w:hAnsi="Arial" w:eastAsia="Arial" w:cs="Arial"/>
              </w:rPr>
            </w:r>
            <w:r>
              <w:rPr>
                <w:rFonts w:ascii="Arial" w:hAnsi="Arial" w:eastAsia="Arial" w:cs="Arial"/>
                <w:b w:val="0"/>
                <w:sz w:val="18"/>
              </w:rPr>
              <w:t>Yêu cầu VolumeRatio &gt; 1.2 khi breakout; nếu volume thấp thì không nâng tỷ trọng</w:t>
            </w:r>
          </w:p>
        </w:tc>
      </w:tr>
      <w:tr>
        <w:tc>
          <w:tcPr>
            <w:tcW w:type="dxa" w:w="3456"/>
            <w:vAlign w:val="center"/>
          </w:tcPr>
          <w:p>
            <w:r>
              <w:rPr>
                <w:rFonts w:ascii="Arial" w:hAnsi="Arial" w:eastAsia="Arial" w:cs="Arial"/>
              </w:rPr>
            </w:r>
            <w:r>
              <w:rPr>
                <w:rFonts w:ascii="Arial" w:hAnsi="Arial" w:eastAsia="Arial" w:cs="Arial"/>
                <w:b w:val="0"/>
                <w:sz w:val="18"/>
              </w:rPr>
              <w:t>Tin tức/catalyst</w:t>
            </w:r>
          </w:p>
        </w:tc>
        <w:tc>
          <w:tcPr>
            <w:tcW w:type="dxa" w:w="3456"/>
            <w:vAlign w:val="center"/>
          </w:tcPr>
          <w:p>
            <w:r>
              <w:rPr>
                <w:rFonts w:ascii="Arial" w:hAnsi="Arial" w:eastAsia="Arial" w:cs="Arial"/>
              </w:rPr>
            </w:r>
            <w:r>
              <w:rPr>
                <w:rFonts w:ascii="Arial" w:hAnsi="Arial" w:eastAsia="Arial" w:cs="Arial"/>
                <w:b w:val="0"/>
                <w:sz w:val="18"/>
              </w:rPr>
              <w:t>Tin đã kiểm chứng trong báo cáo: 8; target CTCK phát hiện: 5</w:t>
            </w:r>
          </w:p>
        </w:tc>
        <w:tc>
          <w:tcPr>
            <w:tcW w:type="dxa" w:w="3456"/>
            <w:vAlign w:val="center"/>
          </w:tcPr>
          <w:p>
            <w:r>
              <w:rPr>
                <w:rFonts w:ascii="Arial" w:hAnsi="Arial" w:eastAsia="Arial" w:cs="Arial"/>
              </w:rPr>
            </w:r>
            <w:r>
              <w:rPr>
                <w:rFonts w:ascii="Arial" w:hAnsi="Arial" w:eastAsia="Arial" w:cs="Arial"/>
                <w:b w:val="0"/>
                <w:sz w:val="18"/>
              </w:rPr>
              <w:t>Theo dõi KQKD, target CTCK, cổ tức/ESOP/phát hành thêm, IPO/M&amp;A/sản phẩm/chuỗi mới</w:t>
            </w:r>
          </w:p>
        </w:tc>
      </w:tr>
      <w:tr>
        <w:tc>
          <w:tcPr>
            <w:tcW w:type="dxa" w:w="3456"/>
            <w:vAlign w:val="center"/>
          </w:tcPr>
          <w:p>
            <w:r>
              <w:rPr>
                <w:rFonts w:ascii="Arial" w:hAnsi="Arial" w:eastAsia="Arial" w:cs="Arial"/>
              </w:rPr>
            </w:r>
            <w:r>
              <w:rPr>
                <w:rFonts w:ascii="Arial" w:hAnsi="Arial" w:eastAsia="Arial" w:cs="Arial"/>
                <w:b w:val="0"/>
                <w:sz w:val="18"/>
              </w:rPr>
              <w:t>Checklist hành động</w:t>
            </w:r>
          </w:p>
        </w:tc>
        <w:tc>
          <w:tcPr>
            <w:tcW w:type="dxa" w:w="3456"/>
            <w:vAlign w:val="center"/>
          </w:tcPr>
          <w:p>
            <w:r>
              <w:rPr>
                <w:rFonts w:ascii="Arial" w:hAnsi="Arial" w:eastAsia="Arial" w:cs="Arial"/>
              </w:rPr>
            </w:r>
            <w:r>
              <w:rPr>
                <w:rFonts w:ascii="Arial" w:hAnsi="Arial" w:eastAsia="Arial" w:cs="Arial"/>
                <w:b w:val="0"/>
                <w:sz w:val="18"/>
              </w:rPr>
              <w:t>Bull/Base/Bear phải khớp cả news + kỹ thuật + volume</w:t>
            </w:r>
          </w:p>
        </w:tc>
        <w:tc>
          <w:tcPr>
            <w:tcW w:type="dxa" w:w="3456"/>
            <w:vAlign w:val="center"/>
          </w:tcPr>
          <w:p>
            <w:r>
              <w:rPr>
                <w:rFonts w:ascii="Arial" w:hAnsi="Arial" w:eastAsia="Arial" w:cs="Arial"/>
              </w:rPr>
            </w:r>
            <w:r>
              <w:rPr>
                <w:rFonts w:ascii="Arial" w:hAnsi="Arial" w:eastAsia="Arial" w:cs="Arial"/>
                <w:b w:val="0"/>
                <w:sz w:val="18"/>
              </w:rPr>
              <w:t>Ra quyết định theo trigger đã xác nhận</w:t>
            </w:r>
          </w:p>
        </w:tc>
      </w:tr>
    </w:tbl>
    <w:p>
      <w:pPr>
        <w:spacing w:after="80" w:line="252" w:lineRule="auto"/>
      </w:pPr>
    </w:p>
    <w:p>
      <w:pPr>
        <w:spacing w:after="80" w:line="252" w:lineRule="auto"/>
        <w:ind w:left="259" w:hanging="173"/>
      </w:pPr>
      <w:r>
        <w:rPr>
          <w:rFonts w:ascii="Arial" w:hAnsi="Arial" w:eastAsia="Arial" w:cs="Arial"/>
          <w:b/>
          <w:sz w:val="18"/>
        </w:rPr>
        <w:t xml:space="preserve">• </w:t>
      </w:r>
      <w:r>
        <w:rPr>
          <w:rFonts w:ascii="Arial" w:hAnsi="Arial" w:eastAsia="Arial" w:cs="Arial"/>
          <w:sz w:val="18"/>
        </w:rPr>
        <w:t>PHẦN 8 — KẾ HOẠCH THEO DÕI SSI</w:t>
      </w:r>
    </w:p>
    <w:p>
      <w:pPr>
        <w:spacing w:after="80" w:line="252" w:lineRule="auto"/>
        <w:ind w:left="259" w:hanging="173"/>
      </w:pPr>
      <w:r>
        <w:rPr>
          <w:rFonts w:ascii="Arial" w:hAnsi="Arial" w:eastAsia="Arial" w:cs="Arial"/>
          <w:b/>
          <w:sz w:val="18"/>
        </w:rPr>
        <w:t xml:space="preserve">• </w:t>
      </w:r>
      <w:r>
        <w:rPr>
          <w:rFonts w:ascii="Arial" w:hAnsi="Arial" w:eastAsia="Arial" w:cs="Arial"/>
          <w:sz w:val="18"/>
        </w:rPr>
        <w:t>Báo cáo nghiên cứu dữ liệu; nhà đầu tư tự chịu trách nhiệm với quyết đánh giáao dịch</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s="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cs="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eastAsia="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