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w:t>
            </w:r>
            <w:r>
              <w:rPr>
                <w:b/>
                <w:bCs/>
                <w:rtl w:val="0"/>
              </w:rPr>
              <w:br/>
            </w:r>
            <w:r>
              <w:rPr>
                <w:b/>
                <w:bCs/>
                <w:rtl w:val="0"/>
              </w:rPr>
              <w:t>TỈNH THANH HÓA</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27/2024/QĐ-UBND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Thanh Hóa, ngày 27 tháng 6 năm 2024</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BAN HÀNH BỘ TIÊU CHÍ HUYỆN NÔNG THÔN MỚI TỈNH THANH HÓA, GIAI ĐOẠN 2024-2025</w:t>
      </w:r>
      <w:bookmarkEnd w:id="1"/>
    </w:p>
    <w:p>
      <w:pPr>
        <w:bidi w:val="0"/>
        <w:spacing w:before="120" w:beforeAutospacing="0" w:after="280" w:afterAutospacing="1"/>
        <w:jc w:val="center"/>
      </w:pPr>
      <w:r>
        <w:rPr>
          <w:b/>
          <w:bCs/>
          <w:sz w:val="24"/>
          <w:rtl w:val="0"/>
        </w:rPr>
        <w:t>ỦY BAN NHÂN DÂN TỈNH THANH HÓA</w:t>
      </w:r>
    </w:p>
    <w:p>
      <w:pPr>
        <w:bidi w:val="0"/>
        <w:spacing w:before="120" w:beforeAutospacing="0" w:after="280" w:afterAutospacing="1"/>
      </w:pPr>
      <w:r>
        <w:rPr>
          <w:i/>
          <w:iCs/>
          <w:rtl w:val="0"/>
        </w:rPr>
        <w:t>Căn cứ Luật Tổ chức chính quyền địa phương ngày 19/6/2015; Luật sửa đổi, bổ sung một số điều của Luật Tổ chức Chính phủ và Luật Tổ chức chính quyền địa phương ngày 22/11/2019;</w:t>
      </w:r>
    </w:p>
    <w:p>
      <w:pPr>
        <w:bidi w:val="0"/>
        <w:spacing w:before="120" w:beforeAutospacing="0" w:after="280" w:afterAutospacing="1"/>
      </w:pPr>
      <w:r>
        <w:rPr>
          <w:i/>
          <w:iCs/>
          <w:rtl w:val="0"/>
        </w:rPr>
        <w:t>Căn cứ Luật Ban hành văn bản quy phạm pháp luật ngày 22/6/2015; Luật sửa đổi, bổ sung một số điều của Luật ban hành văn bản quy phạm pháp luật ngày 18/6/2020;</w:t>
      </w:r>
    </w:p>
    <w:p>
      <w:pPr>
        <w:bidi w:val="0"/>
        <w:spacing w:before="120" w:beforeAutospacing="0" w:after="280" w:afterAutospacing="1"/>
      </w:pPr>
      <w:r>
        <w:rPr>
          <w:i/>
          <w:iCs/>
          <w:rtl w:val="0"/>
        </w:rPr>
        <w:t>Căn cứ Nghị quyết số 25/2021/QH15 ngày 28/7/2021 của Quốc hội về việc phê duyệt chủ trương đầu tư Chương trình mục tiêu quốc gia xây dựng nông thôn mới giai đoạn 2021 - 2025;</w:t>
      </w:r>
    </w:p>
    <w:p>
      <w:pPr>
        <w:bidi w:val="0"/>
        <w:spacing w:before="120" w:beforeAutospacing="0" w:after="280" w:afterAutospacing="1"/>
      </w:pPr>
      <w:r>
        <w:rPr>
          <w:i/>
          <w:iCs/>
          <w:rtl w:val="0"/>
        </w:rPr>
        <w:t>Căn cứ Quyết định số 263/QĐ-TTg ngày 22/02/2022 của Thủ tướng Chính phủ về việc phê duyệt Chương trình mục tiêu quốc gia xây dựng nông thôn mới giai đoạn 2021-2025;</w:t>
      </w:r>
    </w:p>
    <w:p>
      <w:pPr>
        <w:bidi w:val="0"/>
        <w:spacing w:before="120" w:beforeAutospacing="0" w:after="280" w:afterAutospacing="1"/>
      </w:pPr>
      <w:r>
        <w:rPr>
          <w:i/>
          <w:iCs/>
          <w:rtl w:val="0"/>
        </w:rPr>
        <w:t>Căn cứ Quyết định số 320/QĐ-TTg ngày 08/3/2022 của Thủ tướng Chính phủ về việc ban hành Bộ tiêu chí quốc gia về huyện nông thôn mới; quy định thị xã, thành phố trực thuộc cấp tỉnh hoàn thành nhiệm vụ xây dựng nông thôn mới và Bộ tiêu chí quốc gia về huyện nông thôn mới nâng cao giai đoạn 2021-2025;</w:t>
      </w:r>
    </w:p>
    <w:p>
      <w:pPr>
        <w:bidi w:val="0"/>
        <w:spacing w:before="120" w:beforeAutospacing="0" w:after="280" w:afterAutospacing="1"/>
      </w:pPr>
      <w:r>
        <w:rPr>
          <w:i/>
          <w:iCs/>
          <w:rtl w:val="0"/>
        </w:rPr>
        <w:t>Căn cứ Quyết định số 211/QĐ-TTg ngày 01/3/2024 của Thủ tướng Chính phủ về sửa đổi một số tiêu chí, chỉ tiêu của Bộ tiêu chí quốc gia về xã nông thôn mới, Bộ tiêu chí quốc gia về xã nông thôn mới nâng cao, Bộ tiêu chí quốc gia về huyện nông thôn mới và Bộ tiêu chí quốc gia về huyện nông thôn mới nâng cao giai đoạn 2021-2025; bổ sung tiêu chí huyện nông thôn mới đặc thù không có đơn vị hành chính cấp xã giai đoạn 2021-2025;</w:t>
      </w:r>
    </w:p>
    <w:p>
      <w:pPr>
        <w:bidi w:val="0"/>
        <w:spacing w:before="120" w:beforeAutospacing="0" w:after="280" w:afterAutospacing="1"/>
      </w:pPr>
      <w:r>
        <w:rPr>
          <w:i/>
          <w:iCs/>
          <w:rtl w:val="0"/>
        </w:rPr>
        <w:t>Theo đề nghị của Văn phòng Điều phối xây dựng nông thôn mới tỉnh tại Tờ trình số 482/TTr-VPĐP ngày 31/5/2024.</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Điều 1.</w:t>
      </w:r>
      <w:r>
        <w:rPr>
          <w:rtl w:val="0"/>
        </w:rPr>
        <w:t xml:space="preserve"> Ban hành kèm theo Quyết định này Bộ tiêu chí huyện nông thôn mới tỉnh Thanh Hóa, giai đoạn 2024-2025.</w:t>
      </w:r>
      <w:bookmarkEnd w:id="2"/>
    </w:p>
    <w:p>
      <w:pPr>
        <w:bidi w:val="0"/>
        <w:spacing w:before="120" w:beforeAutospacing="0" w:after="280" w:afterAutospacing="1"/>
      </w:pPr>
      <w:bookmarkStart w:id="3" w:name="dieu_2"/>
      <w:r>
        <w:rPr>
          <w:b/>
          <w:bCs/>
          <w:rtl w:val="0"/>
        </w:rPr>
        <w:t>Điều 2.</w:t>
      </w:r>
      <w:r>
        <w:rPr>
          <w:rtl w:val="0"/>
        </w:rPr>
        <w:t xml:space="preserve"> Tổ chức thực hiện.</w:t>
      </w:r>
      <w:bookmarkEnd w:id="3"/>
    </w:p>
    <w:p>
      <w:pPr>
        <w:bidi w:val="0"/>
        <w:spacing w:before="120" w:beforeAutospacing="0" w:after="280" w:afterAutospacing="1"/>
      </w:pPr>
      <w:r>
        <w:rPr>
          <w:rtl w:val="0"/>
        </w:rPr>
        <w:t>1. Các sở, ngành cấp tỉnh căn cứ chức năng nhiệm vụ được giao, các chỉ tiêu, tiêu chí huyện nông thôn mới ngành phụ trách và hướng dẫn của các bộ, ngành Trung ương có liên quan, ban hành văn bản hướng dẫn thực hiện; thường xuyên kiểm tra, đôn đốc, chỉ đạo các địa phương tổ chức thực hiện và thẩm tra kết quả thực hiện các chỉ tiêu, tiêu chí huyện nông thôn mới do ngành phụ trách.</w:t>
      </w:r>
    </w:p>
    <w:p>
      <w:pPr>
        <w:bidi w:val="0"/>
        <w:spacing w:before="120" w:beforeAutospacing="0" w:after="280" w:afterAutospacing="1"/>
      </w:pPr>
      <w:r>
        <w:rPr>
          <w:rtl w:val="0"/>
        </w:rPr>
        <w:t>2. Văn phòng Điều phối xây dựng nông thôn mới tỉnh phối hợp với các sở, ngành cấp tỉnh và UBND các huyện tổ chức triển khai thực hiện các tiêu chí huyện nông thôn mới; thường xuyên kiểm tra, đôn đốc, tổng hợp kết quả báo cáo UBND tỉnh theo quy định.</w:t>
      </w:r>
    </w:p>
    <w:p>
      <w:pPr>
        <w:bidi w:val="0"/>
        <w:spacing w:before="120" w:beforeAutospacing="0" w:after="280" w:afterAutospacing="1"/>
      </w:pPr>
      <w:r>
        <w:rPr>
          <w:rtl w:val="0"/>
        </w:rPr>
        <w:t>3. UBND các huyện căn cứ hướng dẫn của các sở, ngành, tổ chức thực hiện các tiêu chí huyện nông thôn mới trên địa bàn theo đúng quy định.</w:t>
      </w:r>
    </w:p>
    <w:p>
      <w:pPr>
        <w:bidi w:val="0"/>
        <w:spacing w:before="120" w:beforeAutospacing="0" w:after="280" w:afterAutospacing="1"/>
      </w:pPr>
      <w:bookmarkStart w:id="4" w:name="dieu_3"/>
      <w:r>
        <w:rPr>
          <w:b/>
          <w:bCs/>
          <w:rtl w:val="0"/>
        </w:rPr>
        <w:t>Điều 3.</w:t>
      </w:r>
      <w:r>
        <w:rPr>
          <w:rtl w:val="0"/>
        </w:rPr>
        <w:t xml:space="preserve"> Quyết định này có hiệu lực kể từ ngày 10/7/2024.</w:t>
      </w:r>
      <w:bookmarkEnd w:id="4"/>
    </w:p>
    <w:p>
      <w:pPr>
        <w:bidi w:val="0"/>
        <w:spacing w:before="120" w:beforeAutospacing="0" w:after="280" w:afterAutospacing="1"/>
      </w:pPr>
      <w:r>
        <w:rPr>
          <w:rtl w:val="0"/>
        </w:rPr>
        <w:t>Chánh Văn phòng UBND tỉnh, Chánh Văn phòng Điều phối xây dựng nông thôn mới tỉnh, Giám đốc các sở, Thủ trưởng các ban, ngành, đơn vị cấp tỉnh, Chủ tịch UBND các huyện, thị xã, thành phố và Thủ trưởng các đơn vị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 QĐ;</w:t>
            </w:r>
            <w:r>
              <w:rPr>
                <w:sz w:val="16"/>
                <w:rtl w:val="0"/>
              </w:rPr>
              <w:br/>
            </w:r>
            <w:r>
              <w:rPr>
                <w:sz w:val="16"/>
                <w:rtl w:val="0"/>
              </w:rPr>
              <w:t>- BCĐ TW các Chương trình MTQG (để b/c);</w:t>
            </w:r>
            <w:r>
              <w:rPr>
                <w:sz w:val="16"/>
                <w:rtl w:val="0"/>
              </w:rPr>
              <w:br/>
            </w:r>
            <w:r>
              <w:rPr>
                <w:sz w:val="16"/>
                <w:rtl w:val="0"/>
              </w:rPr>
              <w:t>- Bộ Nông nghiệp và PTNT (để b/c);</w:t>
            </w:r>
            <w:r>
              <w:rPr>
                <w:sz w:val="16"/>
                <w:rtl w:val="0"/>
              </w:rPr>
              <w:br/>
            </w:r>
            <w:r>
              <w:rPr>
                <w:sz w:val="16"/>
                <w:rtl w:val="0"/>
              </w:rPr>
              <w:t>- Thường trực Tỉnh ủy (để b/c);</w:t>
            </w:r>
            <w:r>
              <w:rPr>
                <w:sz w:val="16"/>
                <w:rtl w:val="0"/>
              </w:rPr>
              <w:br/>
            </w:r>
            <w:r>
              <w:rPr>
                <w:sz w:val="16"/>
                <w:rtl w:val="0"/>
              </w:rPr>
              <w:t>- Cục Kiểm tra văn bản QPPL - Bộ Tư pháp;</w:t>
            </w:r>
            <w:r>
              <w:rPr>
                <w:sz w:val="16"/>
                <w:rtl w:val="0"/>
              </w:rPr>
              <w:br/>
            </w:r>
            <w:r>
              <w:rPr>
                <w:sz w:val="16"/>
                <w:rtl w:val="0"/>
              </w:rPr>
              <w:t>- Văn phòng Điều phối NTM TW;</w:t>
            </w:r>
            <w:r>
              <w:rPr>
                <w:sz w:val="16"/>
                <w:rtl w:val="0"/>
              </w:rPr>
              <w:br/>
            </w:r>
            <w:r>
              <w:rPr>
                <w:sz w:val="16"/>
                <w:rtl w:val="0"/>
              </w:rPr>
              <w:t>- Chủ tịch, các PCT UBND tỉnh;</w:t>
            </w:r>
            <w:r>
              <w:rPr>
                <w:sz w:val="16"/>
                <w:rtl w:val="0"/>
              </w:rPr>
              <w:br/>
            </w:r>
            <w:r>
              <w:rPr>
                <w:sz w:val="16"/>
                <w:rtl w:val="0"/>
              </w:rPr>
              <w:t>- Thành viên BCĐ tỉnh (2747-QĐ/TU, 2023);</w:t>
            </w:r>
            <w:r>
              <w:rPr>
                <w:sz w:val="16"/>
                <w:rtl w:val="0"/>
              </w:rPr>
              <w:br/>
            </w:r>
            <w:r>
              <w:rPr>
                <w:sz w:val="16"/>
                <w:rtl w:val="0"/>
              </w:rPr>
              <w:t>- Công báo tỉnh;</w:t>
            </w:r>
            <w:r>
              <w:rPr>
                <w:sz w:val="16"/>
                <w:rtl w:val="0"/>
              </w:rPr>
              <w:br/>
            </w:r>
            <w:r>
              <w:rPr>
                <w:sz w:val="16"/>
                <w:rtl w:val="0"/>
              </w:rPr>
              <w:t>- Cổng TTĐT - VP UBND tỉnh;</w:t>
            </w:r>
            <w:r>
              <w:rPr>
                <w:sz w:val="16"/>
                <w:rtl w:val="0"/>
              </w:rPr>
              <w:br/>
            </w:r>
            <w:r>
              <w:rPr>
                <w:sz w:val="16"/>
                <w:rtl w:val="0"/>
              </w:rPr>
              <w:t>- Lưu: VT, PgNN.</w:t>
            </w:r>
          </w:p>
        </w:tc>
        <w:tc>
          <w:tcPr>
            <w:tcW w:w="2500" w:type="pct"/>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TM. ỦY BAN NHÂN DÂN</w:t>
            </w:r>
            <w:r>
              <w:rPr>
                <w:b/>
                <w:bCs/>
                <w:rtl w:val="0"/>
              </w:rPr>
              <w:br/>
            </w:r>
            <w:r>
              <w:rPr>
                <w:b/>
                <w:bCs/>
                <w:rtl w:val="0"/>
              </w:rPr>
              <w:t>KT. CHỦ TỊCH</w:t>
            </w:r>
            <w:r>
              <w:rPr>
                <w:b/>
                <w:bCs/>
                <w:rtl w:val="0"/>
              </w:rPr>
              <w:br/>
            </w:r>
            <w:r>
              <w:rPr>
                <w:b/>
                <w:bCs/>
                <w:rtl w:val="0"/>
              </w:rPr>
              <w:t>PHÓ CHỦ TỊCH</w:t>
            </w:r>
            <w:r>
              <w:rPr>
                <w:b/>
                <w:bCs/>
                <w:rtl w:val="0"/>
              </w:rPr>
              <w:br/>
            </w:r>
            <w:r>
              <w:rPr>
                <w:b/>
                <w:bCs/>
                <w:rtl w:val="0"/>
              </w:rPr>
              <w:br/>
            </w:r>
            <w:r>
              <w:rPr>
                <w:b/>
                <w:bCs/>
                <w:rtl w:val="0"/>
              </w:rPr>
              <w:br/>
            </w:r>
            <w:r>
              <w:rPr>
                <w:b/>
                <w:bCs/>
                <w:rtl w:val="0"/>
              </w:rPr>
              <w:br/>
            </w:r>
            <w:r>
              <w:rPr>
                <w:b/>
                <w:bCs/>
                <w:rtl w:val="0"/>
              </w:rPr>
              <w:br/>
            </w:r>
            <w:r>
              <w:rPr>
                <w:b/>
                <w:bCs/>
                <w:rtl w:val="0"/>
              </w:rPr>
              <w:t>Lê Đức Giang</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5" w:name="chuong_pl"/>
      <w:r>
        <w:rPr>
          <w:b/>
          <w:bCs/>
          <w:sz w:val="24"/>
          <w:rtl w:val="0"/>
        </w:rPr>
        <w:t>BỘ TIÊU CHÍ</w:t>
      </w:r>
      <w:bookmarkEnd w:id="5"/>
    </w:p>
    <w:p>
      <w:pPr>
        <w:bidi w:val="0"/>
        <w:spacing w:before="120" w:beforeAutospacing="0" w:after="280" w:afterAutospacing="1"/>
        <w:jc w:val="center"/>
      </w:pPr>
      <w:bookmarkStart w:id="6" w:name="chuong_pl_name"/>
      <w:r>
        <w:rPr>
          <w:rtl w:val="0"/>
        </w:rPr>
        <w:t>HUYỆN NÔNG THÔN MỚI TỈNH THANH HÓA, GIAI ĐOẠN 2024-2025</w:t>
      </w:r>
      <w:bookmarkEnd w:id="6"/>
      <w:r>
        <w:rPr>
          <w:rtl w:val="0"/>
        </w:rPr>
        <w:br/>
      </w:r>
      <w:r>
        <w:rPr>
          <w:i/>
          <w:iCs/>
          <w:rtl w:val="0"/>
        </w:rPr>
        <w:t>(Ban hành kèm theo Quyết định số 27/2024/QĐ-UBND ngày 27/6/2024 của Ủy ban nhân dân tỉnh)</w:t>
      </w:r>
    </w:p>
    <w:p>
      <w:pPr>
        <w:bidi w:val="0"/>
        <w:spacing w:before="120" w:beforeAutospacing="0" w:after="280" w:afterAutospacing="1"/>
      </w:pPr>
      <w:r>
        <w:rPr>
          <w:rtl w:val="0"/>
        </w:rPr>
        <w:t>1. Có 100% số xã trên địa bàn đạt chuẩn nông thôn mới (đáp ứng đầy đủ mức đạt chuẩn theo yêu cầu của Bộ tiêu chí xã nông thôn mới tỉnh Thanh Hóa, giai đoạn 2024 - 2025).</w:t>
      </w:r>
    </w:p>
    <w:p>
      <w:pPr>
        <w:bidi w:val="0"/>
        <w:spacing w:before="120" w:beforeAutospacing="0" w:after="280" w:afterAutospacing="1"/>
      </w:pPr>
      <w:r>
        <w:rPr>
          <w:rtl w:val="0"/>
        </w:rPr>
        <w:t>2. Có ít nhất 10% số xã trên địa bàn đạt chuẩn nông thôn mới nâng cao (đáp ứng đầy đủ mức độ đạt chuẩn theo yêu cầu của Bộ tiêu chí xã nông thôn mới nâng cao tỉnh Thanh Hóa, giai đoạn 2024 - 2025).</w:t>
      </w:r>
    </w:p>
    <w:p>
      <w:pPr>
        <w:bidi w:val="0"/>
        <w:spacing w:before="120" w:beforeAutospacing="0" w:after="280" w:afterAutospacing="1"/>
      </w:pPr>
      <w:r>
        <w:rPr>
          <w:rtl w:val="0"/>
        </w:rPr>
        <w:t>3. Có 100% số thị trấn trên địa bàn đạt chuẩn đô thị văn minh.</w:t>
      </w:r>
    </w:p>
    <w:p>
      <w:pPr>
        <w:bidi w:val="0"/>
        <w:spacing w:before="120" w:beforeAutospacing="0" w:after="280" w:afterAutospacing="1"/>
      </w:pPr>
      <w:r>
        <w:rPr>
          <w:rtl w:val="0"/>
        </w:rPr>
        <w:t>4. Tỷ lệ hài lòng của người dân trên địa bàn đối với kết quả xây dựng nông thôn mới của huyện đạt từ 90% trở lên (trong đó có tỷ lệ hài lòng của người dân ở từng xã đối với kết quả thực hiện từng nội dung xây dựng nông thôn mới đạt từ 80% trở lên).</w:t>
      </w:r>
    </w:p>
    <w:p>
      <w:pPr>
        <w:bidi w:val="0"/>
        <w:spacing w:before="120" w:beforeAutospacing="0" w:after="280" w:afterAutospacing="1"/>
      </w:pPr>
      <w:r>
        <w:rPr>
          <w:rtl w:val="0"/>
        </w:rPr>
        <w:t>5. Đạt các tiêu chí huyện nông thôn mới , giai đoạn 2024 - 2025, bao gồm:</w:t>
      </w:r>
    </w:p>
    <w:tbl>
      <w:tblPr>
        <w:tblW w:w="5004" w:type="pct"/>
        <w:jc w:val="left"/>
        <w:tblCellMar>
          <w:top w:w="0" w:type="dxa"/>
          <w:left w:w="0" w:type="dxa"/>
          <w:bottom w:w="0" w:type="dxa"/>
          <w:right w:w="0" w:type="dxa"/>
        </w:tblCellMar>
      </w:tblPr>
      <w:tblGrid>
        <w:gridCol w:w="403"/>
        <w:gridCol w:w="1377"/>
        <w:gridCol w:w="5617"/>
        <w:gridCol w:w="1250"/>
      </w:tblGrid>
      <w:tr>
        <w:tblPrEx>
          <w:tblW w:w="5004" w:type="pct"/>
          <w:jc w:val="left"/>
          <w:tblCellMar>
            <w:top w:w="0" w:type="dxa"/>
            <w:left w:w="0" w:type="dxa"/>
            <w:bottom w:w="0" w:type="dxa"/>
            <w:right w:w="0" w:type="dxa"/>
          </w:tblCellMar>
        </w:tblPrEx>
        <w:trPr>
          <w:jc w:val="left"/>
        </w:trPr>
        <w:tc>
          <w:tcPr>
            <w:tcW w:w="23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7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tiêu chí</w:t>
            </w:r>
          </w:p>
        </w:tc>
        <w:tc>
          <w:tcPr>
            <w:tcW w:w="32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tiêu chí</w:t>
            </w:r>
          </w:p>
        </w:tc>
        <w:tc>
          <w:tcPr>
            <w:tcW w:w="72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r>
      <w:tr>
        <w:tblPrEx>
          <w:tblW w:w="5004" w:type="pct"/>
          <w:jc w:val="left"/>
          <w:tblCellMar>
            <w:top w:w="0" w:type="dxa"/>
            <w:left w:w="0" w:type="dxa"/>
            <w:bottom w:w="0" w:type="dxa"/>
            <w:right w:w="0" w:type="dxa"/>
          </w:tblCellMar>
        </w:tblPrEx>
        <w:trPr>
          <w:jc w:val="left"/>
        </w:trPr>
        <w:tc>
          <w:tcPr>
            <w:tcW w:w="23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Quy hoạch</w:t>
            </w: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 Có quy hoạch xây dựng vùng huyện được phê duyệt còn thời hạn hoặc được rà soát, điều chỉnh theo quy định, trong đó có quy hoạch khu chức năng dịch vụ hỗ trợ phát triển kinh tế nông thôn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 Có công trình hạ tầng kỹ thuật thiết yếu hoặc hạ tầng xã hội thiết yếu được đầu tư xây dựng theo quy hoạch xây dựng vùng huyện đã được phê duyệt</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01  công trình</w:t>
            </w:r>
          </w:p>
        </w:tc>
      </w:tr>
      <w:tr>
        <w:tblPrEx>
          <w:tblW w:w="5004" w:type="pct"/>
          <w:jc w:val="left"/>
          <w:tblCellMar>
            <w:top w:w="0" w:type="dxa"/>
            <w:left w:w="0" w:type="dxa"/>
            <w:bottom w:w="0" w:type="dxa"/>
            <w:right w:w="0" w:type="dxa"/>
          </w:tblCellMar>
        </w:tblPrEx>
        <w:trPr>
          <w:jc w:val="left"/>
        </w:trPr>
        <w:tc>
          <w:tcPr>
            <w:tcW w:w="23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Giao thông</w:t>
            </w: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 Hệ thống giao thông trên địa bàn huyện đảm bảo kết nối tới các xã và được bảo trì hàng năm</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2.2. Tỷ lệ km đường huyện đạt chuẩn theo quy hoạch</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 Tỷ lệ km đường huyện được trồng cây xanh dọc tuyến đường</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50%</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 Bến xe khách tại huyện (nếu có theo quy hoạch) đạt tiêu chuẩn loại IV trở lên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01</w:t>
            </w:r>
          </w:p>
        </w:tc>
      </w:tr>
      <w:tr>
        <w:tblPrEx>
          <w:tblW w:w="5004" w:type="pct"/>
          <w:jc w:val="left"/>
          <w:tblCellMar>
            <w:top w:w="0" w:type="dxa"/>
            <w:left w:w="0" w:type="dxa"/>
            <w:bottom w:w="0" w:type="dxa"/>
            <w:right w:w="0" w:type="dxa"/>
          </w:tblCellMar>
        </w:tblPrEx>
        <w:trPr>
          <w:jc w:val="left"/>
        </w:trPr>
        <w:tc>
          <w:tcPr>
            <w:tcW w:w="23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Thủy lợi và phòng, chống thiên tai</w:t>
            </w: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 Hệ thống thủy lợi liên xã đồng bộ với hệ thống thủy lợi các xã theo quy hoạch</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3.2. Đảm bảo yêu cầu chủ động về phòng chống thiên tai theo phương châm 4 tại chỗ</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Điện</w:t>
            </w: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điện liên xã đồng bộ với hệ thống điện các xã theo quy hoạch, đảm bảo yêu cầu kỹ thuật của cả hệ thống</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23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Y tế - Văn hóa - Giáo dục</w:t>
            </w: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5.1. Trung tâm Y tế huyện đạt chuẩn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5.2. Trung tâm Văn hóa - Thể thao huyện đạt chuẩn, có nhiều hoạt động văn hóa - thể thao kết nối với các xã</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5.3. Tỷ lệ trường Trung học phổ thông đạt chuẩn quốc gia mức độ 1 trở lên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60%</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5.4. Trung tâm giáo dục nghề nghiệp - giáo dục thường xuyên đạt kiểm định chất lượng giáo dục cấp độ 1, hoặc đánh giá đạt tiêu chuẩn chất lượng giáo dục thông qua các thiết chế giáo dục khác được giao chức năng, nhiệm vụ giáo dục thường xuyên trên địa bàn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23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Kinh tế</w:t>
            </w: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6.1. Có khu công nghiệp, hoặc cụm công nghiệp được đầu tư kết cấu hạ tầng kỹ thuật, hoặc cụm ngành nghề nông thôn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6.2. Có mô hình chợ đảm bảo an toàn thực phẩm theo hướng dẫn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6.3. Hình thành vùng nguyên liệu tập trung đối với các sản phẩm chủ lực hoặc có mô hình liên kết theo chuỗi giá trị đảm bảo an toàn thực phẩm, kết nối từ sản xuất đến tiêu thụ đối với các sản phẩm chủ lực của huyện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6.4. Có Trung tâm kỹ thuật nông nghiệp hoặc đơn vị chuyển giao kỹ thuật nông nghiệp hoạt động hiệu quả</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23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Môi trường</w:t>
            </w: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7.1. Hệ thống thu gom, xử lý chất thải rắn trên địa bàn huyện đảm bảo yêu cầu về bảo vệ môi trường; tỷ lệ chất thải rắn sinh hoạt chôn lấp trực tiếp ≤ 50% tổng lượng phát sinh</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7.2. Tỷ lệ hộ gia đình thực hiện phân loại chất thải rắn tại nguồn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40%</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7.3. Có mô hình tái chế chất thải hữu cơ, phụ phẩm nông nghiệp quy mô cấp xã trở lên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01 mô hình</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7.4. Có công trình xử lý nước thải sinh hoạt áp dụng biện pháp phù hợp</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01 công trình</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7.5. Khu công nghiệp, cụm công nghiệp, làng nghề trên địa bàn thực hiện đúng các quy định về bảo vệ môi trường, trong đó tỷ lệ đất trồng cây xanh trong khu công nghiệp, cụm công nghiệp tối thiểu là 10% diện tích toàn khu</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7.6. Đất cây xanh sử dụng công cộng tại điểm dân cư nông thôn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2m</w:t>
            </w:r>
            <w:r>
              <w:rPr>
                <w:vertAlign w:val="superscript"/>
                <w:rtl w:val="0"/>
              </w:rPr>
              <w:t>2</w:t>
            </w:r>
            <w:r>
              <w:rPr>
                <w:rtl w:val="0"/>
              </w:rPr>
              <w:t>/người</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7.7. Tỷ lệ chất thải nhựa phát sinh trên địa bàn được thu gom, tái sử dụng, tái chế, xử lý theo quy định</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50%</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7.8. Tỷ lệ điểm tập kết, trung chuyển chất thải rắn sinh hoạt trên địa bàn huyện có hạ tầng về bảo vệ môi trường theo quy định</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r>
      <w:tr>
        <w:tblPrEx>
          <w:tblW w:w="5004" w:type="pct"/>
          <w:jc w:val="left"/>
          <w:tblCellMar>
            <w:top w:w="0" w:type="dxa"/>
            <w:left w:w="0" w:type="dxa"/>
            <w:bottom w:w="0" w:type="dxa"/>
            <w:right w:w="0" w:type="dxa"/>
          </w:tblCellMar>
        </w:tblPrEx>
        <w:trPr>
          <w:jc w:val="left"/>
        </w:trPr>
        <w:tc>
          <w:tcPr>
            <w:tcW w:w="23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7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Chất lượng môi trường sống</w:t>
            </w: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8.1. Tỷ lệ hộ được sử dụng nước sạch theo quy chuẩn từ hệ thống cấp nước tập trung</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18%</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8.2. Tỷ lệ công trình cấp nước tập trung có tổ chức quản lý, khai thác hoạt động bền vững</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35%</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8.3. Có kế hoạch/Đề án kiểm kê, kiểm soát, bảo vệ chất lượng nước; phục hồi cảnh quan, cải tạo hệ sinh thái ao hồ và các nguồn nước mặt trên địa bàn huyện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8.4. Cảnh quan, không gian trên địa bàn toàn huyện đảm bảo sáng - xanh - sạch - đẹp, an toàn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8.5. Tỷ lệ cơ sở sản xuất, kinh doanh thực phẩm do huyện quản lý tuân thủ các quy định về đảm bảo an toàn thực phẩm</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r>
      <w:tr>
        <w:tblPrEx>
          <w:tblW w:w="5004" w:type="pct"/>
          <w:jc w:val="left"/>
          <w:tblCellMar>
            <w:top w:w="0" w:type="dxa"/>
            <w:left w:w="0" w:type="dxa"/>
            <w:bottom w:w="0" w:type="dxa"/>
            <w:right w:w="0" w:type="dxa"/>
          </w:tblCellMar>
        </w:tblPrEx>
        <w:trPr>
          <w:jc w:val="left"/>
        </w:trPr>
        <w:tc>
          <w:tcPr>
            <w:tcW w:w="23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7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Hệ thống chính trị - An ninh trật tự - Hành chính công</w:t>
            </w: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9.1. Đảng bộ, chính quyền huyện được xếp loại chất lượng hoàn thành tốt nhiệm vụ trở lên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9.2. Tổ chức chính trị - xã hội của huyện được xếp loại chất lượng hoàn thành tốt nhiệm vụ trở lên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9.3. Trong 02 năm liên tục trước năm xét công nhận, không có công chức giữ chức vụ lãnh đạo, quản lý bị xử lý kỷ luật từ mức cảnh cáo trở lên hoặc bị truy cứu trách nhiệm hình sự</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9.4. Đảm bảo an ninh, trật tự</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9.5. Có dịch vụ công trực tuyến một phần</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r>
        <w:tblPrEx>
          <w:tblW w:w="5004"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9.6. Huyện đạt chuẩn tiếp cận pháp luật theo quy định</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Đạt</w:t>
            </w:r>
          </w:p>
        </w:tc>
      </w:tr>
    </w:tbl>
    <w:p>
      <w:pPr>
        <w:bidi w:val="0"/>
        <w:spacing w:before="120" w:beforeAutospacing="0" w:after="280" w:afterAutospacing="1"/>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