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jc w:val="center"/>
      </w:pPr>
      <w:r>
        <w:rPr>
          <w:rFonts w:ascii="Arial" w:cs="Arial" w:eastAsia="Arial" w:hAnsi="Arial"/>
          <w:b/>
          <w:bCs/>
          <w:color w:val="FFFFFF"/>
          <w:sz w:val="52"/>
          <w:szCs w:val="52"/>
        </w:rPr>
        <w:t xml:space="preserve">BÁO CÁO VĨ MÔ ĐỘNG</w:t>
      </w:r>
    </w:p>
    <w:p>
      <w:pPr>
        <w:shd w:fill="1F3864" w:val="clear"/>
        <w:jc w:val="center"/>
      </w:pPr>
      <w:r>
        <w:rPr>
          <w:rFonts w:ascii="Arial" w:cs="Arial" w:eastAsia="Arial" w:hAnsi="Arial"/>
          <w:color w:val="BDD7EE"/>
          <w:sz w:val="20"/>
          <w:szCs w:val="20"/>
        </w:rPr>
        <w:t xml:space="preserve">Ngày 2026-06-05 | Data tự đọc từ FA/data</w:t>
      </w:r>
    </w:p>
    <w:p>
      <w:pPr>
        <w:shd w:fill="1F3864" w:val="clear"/>
        <w:spacing w:after="240"/>
        <w:jc w:val="center"/>
      </w:pPr>
      <w:r>
        <w:rPr>
          <w:rFonts w:ascii="Arial" w:cs="Arial" w:eastAsia="Arial" w:hAnsi="Arial"/>
          <w:b/>
          <w:bCs/>
          <w:color w:val="FFD966"/>
          <w:sz w:val="26"/>
          <w:szCs w:val="26"/>
        </w:rPr>
        <w:t xml:space="preserve">TRỌNG TÂM: CHÍNH SÁCH TIỀN TỆ &amp; THANH KHOẢN</w:t>
      </w:r>
    </w:p>
    <w:p>
      <w:pPr>
        <w:pBdr>
          <w:bottom w:val="single" w:color="2E75B6" w:sz="4"/>
        </w:pBdr>
        <w:spacing w:after="120" w:before="280"/>
      </w:pPr>
      <w:r>
        <w:rPr>
          <w:rFonts w:ascii="Arial" w:cs="Arial" w:eastAsia="Arial" w:hAnsi="Arial"/>
          <w:b/>
          <w:bCs/>
          <w:color w:val="1F3864"/>
          <w:sz w:val="26"/>
          <w:szCs w:val="26"/>
        </w:rPr>
        <w:t xml:space="preserve">I. TÓM TẮT ĐIỀU HÀNH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2346"/>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MACRO SCORE</w:t>
            </w:r>
          </w:p>
        </w:tc>
        <w:tc>
          <w:tcPr>
            <w:tcW w:type="dxa" w:w="42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REGIME</w:t>
            </w:r>
          </w:p>
        </w:tc>
        <w:tc>
          <w:tcPr>
            <w:tcW w:type="dxa" w:w="2346"/>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SIGNAL</w:t>
            </w:r>
          </w:p>
        </w:tc>
      </w:tr>
      <w:tr>
        <w:tc>
          <w:tcPr>
            <w:tcW w:type="dxa" w:w="320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center"/>
            </w:pPr>
            <w:r>
              <w:rPr>
                <w:rFonts w:ascii="Arial" w:cs="Arial" w:eastAsia="Arial" w:hAnsi="Arial"/>
                <w:b/>
                <w:bCs/>
                <w:color w:val="000000"/>
                <w:sz w:val="18"/>
                <w:szCs w:val="18"/>
              </w:rPr>
              <w:t xml:space="preserve">57 / 100</w:t>
            </w:r>
          </w:p>
        </w:tc>
        <w:tc>
          <w:tcPr>
            <w:tcW w:type="dxa" w:w="420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center"/>
            </w:pPr>
            <w:r>
              <w:rPr>
                <w:rFonts w:ascii="Arial" w:cs="Arial" w:eastAsia="Arial" w:hAnsi="Arial"/>
                <w:b/>
                <w:bCs/>
                <w:color w:val="000000"/>
                <w:sz w:val="18"/>
                <w:szCs w:val="18"/>
              </w:rPr>
              <w:t xml:space="preserve">Trung tính có chọn lọc</w:t>
            </w:r>
          </w:p>
        </w:tc>
        <w:tc>
          <w:tcPr>
            <w:tcW w:type="dxa" w:w="234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center"/>
            </w:pPr>
            <w:r>
              <w:rPr>
                <w:rFonts w:ascii="Arial" w:cs="Arial" w:eastAsia="Arial" w:hAnsi="Arial"/>
                <w:b/>
                <w:bCs/>
                <w:color w:val="000000"/>
                <w:sz w:val="18"/>
                <w:szCs w:val="18"/>
              </w:rPr>
              <w:t xml:space="preserve">TRUNG TÍNH</w:t>
            </w:r>
          </w:p>
        </w:tc>
      </w:tr>
    </w:tbl>
    <w:p>
      <w:pPr>
        <w:spacing w:after="120" w:before="0"/>
      </w:pPr>
      <w:r>
        <w:rPr>
          <w:rFonts w:ascii="Arial" w:cs="Arial" w:eastAsia="Arial" w:hAnsi="Arial"/>
          <w:i w:val="false"/>
          <w:iCs w:val="false"/>
          <w:color w:val="000000"/>
          <w:sz w:val="20"/>
          <w:szCs w:val="20"/>
        </w:rPr>
        <w:t xml:space="preserve"/>
      </w:r>
    </w:p>
    <w:p>
      <w:pPr>
        <w:spacing w:after="120" w:before="0"/>
      </w:pPr>
      <w:r>
        <w:rPr>
          <w:rFonts w:ascii="Arial" w:cs="Arial" w:eastAsia="Arial" w:hAnsi="Arial"/>
          <w:i w:val="false"/>
          <w:iCs w:val="false"/>
          <w:color w:val="000000"/>
          <w:sz w:val="20"/>
          <w:szCs w:val="20"/>
        </w:rPr>
        <w:t xml:space="preserve">Dữ liệu động ngày 2026-06-05 cho thấy trạng thái vĩ mô hiện tại nghiêng về trung tính có chọn lọc. Trọng tâm chính sách tiền tệ là thanh khoản: lãi suất liên ngân hàng qua đêm ở 5.43%, lãi suất huy động 12T khoảng 5.90%, OMO/Reverse Repo bơm ròng 3,000 tỷ. Điều này cho thấy NHNN đang điều tiết thanh khoản có kiểm soát: có bơm vốn qua OMO, nhưng chưa phải môi trường tiền rẻ rõ rệt.</w:t>
      </w:r>
    </w:p>
    <w:p>
      <w:pPr>
        <w:pBdr>
          <w:bottom w:val="single" w:color="2E75B6" w:sz="4"/>
        </w:pBdr>
        <w:spacing w:after="120" w:before="280"/>
      </w:pPr>
      <w:r>
        <w:rPr>
          <w:rFonts w:ascii="Arial" w:cs="Arial" w:eastAsia="Arial" w:hAnsi="Arial"/>
          <w:b/>
          <w:bCs/>
          <w:color w:val="1F3864"/>
          <w:sz w:val="26"/>
          <w:szCs w:val="26"/>
        </w:rPr>
        <w:t xml:space="preserve">II. CHÍNH SÁCH TIỀN TỆ &amp; THANH KHOẢN HỆ THỐNG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0"/>
        <w:gridCol w:w="3000"/>
        <w:gridCol w:w="1546"/>
      </w:tblGrid>
      <w:tr>
        <w:trPr>
          <w:tblHeader/>
        </w:trPr>
        <w:tc>
          <w:tcPr>
            <w:tcW w:type="dxa" w:w="52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pPr>
              <w:jc w:val="left"/>
            </w:pPr>
            <w:r>
              <w:rPr>
                <w:rFonts w:ascii="Arial" w:cs="Arial" w:eastAsia="Arial" w:hAnsi="Arial"/>
                <w:b/>
                <w:bCs/>
                <w:color w:val="FFFFFF"/>
                <w:sz w:val="18"/>
                <w:szCs w:val="18"/>
              </w:rPr>
              <w:t xml:space="preserve">Chỉ số</w:t>
            </w:r>
          </w:p>
        </w:tc>
        <w:tc>
          <w:tcPr>
            <w:tcW w:type="dxa" w:w="30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pPr>
              <w:jc w:val="right"/>
            </w:pPr>
            <w:r>
              <w:rPr>
                <w:rFonts w:ascii="Arial" w:cs="Arial" w:eastAsia="Arial" w:hAnsi="Arial"/>
                <w:b/>
                <w:bCs/>
                <w:color w:val="FFFFFF"/>
                <w:sz w:val="18"/>
                <w:szCs w:val="18"/>
              </w:rPr>
              <w:t xml:space="preserve">Giá trị động mới nhất</w:t>
            </w:r>
          </w:p>
        </w:tc>
        <w:tc>
          <w:tcPr>
            <w:tcW w:type="dxa" w:w="1546"/>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Tín hiệu</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Lãi suất liên NH qua đêm</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5.43%</w:t>
            </w:r>
          </w:p>
        </w:tc>
        <w:tc>
          <w:tcPr>
            <w:tcW w:type="dxa" w:w="154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Chú ý</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Lãi suất tiết kiệm 12T</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5.90%</w:t>
            </w:r>
          </w:p>
        </w:tc>
        <w:tc>
          <w:tcPr>
            <w:tcW w:type="dxa" w:w="154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Chú ý</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Reverse Repo / OMO phát hành</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3,000 tỷ</w:t>
            </w:r>
          </w:p>
        </w:tc>
        <w:tc>
          <w:tcPr>
            <w:tcW w:type="dxa" w:w="1546"/>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Bơm ròng</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Bơm/hút ròng Reverse Repo</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3,000 tỷ</w:t>
            </w:r>
          </w:p>
        </w:tc>
        <w:tc>
          <w:tcPr>
            <w:tcW w:type="dxa" w:w="1546"/>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Bơm ròng</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Tổng bơm/hút ròng NHNN</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3,000 tỷ</w:t>
            </w:r>
          </w:p>
        </w:tc>
        <w:tc>
          <w:tcPr>
            <w:tcW w:type="dxa" w:w="1546"/>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Bơm ròng</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Lãi suất OMO</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4.50%</w:t>
            </w:r>
          </w:p>
        </w:tc>
        <w:tc>
          <w:tcPr>
            <w:tcW w:type="dxa" w:w="1546"/>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Tốt</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Tín phiếu phát hành</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Chưa có số public</w:t>
            </w:r>
          </w:p>
        </w:tc>
        <w:tc>
          <w:tcPr>
            <w:tcW w:type="dxa" w:w="154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Thiếu dữ liệu</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Bơm/hút ròng tín phiếu</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Chưa có số public</w:t>
            </w:r>
          </w:p>
        </w:tc>
        <w:tc>
          <w:tcPr>
            <w:tcW w:type="dxa" w:w="154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Thiếu dữ liệu</w:t>
            </w:r>
          </w:p>
        </w:tc>
      </w:tr>
    </w:tbl>
    <w:p>
      <w:pPr>
        <w:spacing w:after="120" w:before="0"/>
      </w:pPr>
      <w:r>
        <w:rPr>
          <w:rFonts w:ascii="Arial" w:cs="Arial" w:eastAsia="Arial" w:hAnsi="Arial"/>
          <w:i w:val="false"/>
          <w:iCs w:val="false"/>
          <w:color w:val="C00000"/>
          <w:sz w:val="20"/>
          <w:szCs w:val="20"/>
        </w:rPr>
        <w:t xml:space="preserve">Nhận xét: Nếu lãi suất liên ngân hàng giữ trên 6% trong nhiều phiên, thị trường thường bước vào trạng thái phòng thủ vì chi phí vốn và rủi ro margin tăng. OMO bơm ròng là tín hiệu hỗ trợ, nhưng cần theo dõi đồng thời tín phiếu vì tín phiếu có thể hút ngược thanh khoản.</w:t>
      </w:r>
    </w:p>
    <w:p>
      <w:pPr>
        <w:pBdr>
          <w:bottom w:val="single" w:color="2E75B6" w:sz="4"/>
        </w:pBdr>
        <w:spacing w:after="120" w:before="280"/>
      </w:pPr>
      <w:r>
        <w:rPr>
          <w:rFonts w:ascii="Arial" w:cs="Arial" w:eastAsia="Arial" w:hAnsi="Arial"/>
          <w:b/>
          <w:bCs/>
          <w:color w:val="1F3864"/>
          <w:sz w:val="26"/>
          <w:szCs w:val="26"/>
        </w:rPr>
        <w:t xml:space="preserve">III. TỶ GIÁ, ĐỐI NGOẠI &amp; RÀNG BUỘC CHÍNH SÁCH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0"/>
        <w:gridCol w:w="3000"/>
        <w:gridCol w:w="1546"/>
      </w:tblGrid>
      <w:tr>
        <w:trPr>
          <w:tblHeader/>
        </w:trPr>
        <w:tc>
          <w:tcPr>
            <w:tcW w:type="dxa" w:w="52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pPr>
              <w:jc w:val="left"/>
            </w:pPr>
            <w:r>
              <w:rPr>
                <w:rFonts w:ascii="Arial" w:cs="Arial" w:eastAsia="Arial" w:hAnsi="Arial"/>
                <w:b/>
                <w:bCs/>
                <w:color w:val="FFFFFF"/>
                <w:sz w:val="18"/>
                <w:szCs w:val="18"/>
              </w:rPr>
              <w:t xml:space="preserve">Chỉ số</w:t>
            </w:r>
          </w:p>
        </w:tc>
        <w:tc>
          <w:tcPr>
            <w:tcW w:type="dxa" w:w="30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pPr>
              <w:jc w:val="right"/>
            </w:pPr>
            <w:r>
              <w:rPr>
                <w:rFonts w:ascii="Arial" w:cs="Arial" w:eastAsia="Arial" w:hAnsi="Arial"/>
                <w:b/>
                <w:bCs/>
                <w:color w:val="FFFFFF"/>
                <w:sz w:val="18"/>
                <w:szCs w:val="18"/>
              </w:rPr>
              <w:t xml:space="preserve">Giá trị động mới nhất</w:t>
            </w:r>
          </w:p>
        </w:tc>
        <w:tc>
          <w:tcPr>
            <w:tcW w:type="dxa" w:w="1546"/>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Tín hiệu</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USD/VND Pinetree</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26,402</w:t>
            </w:r>
          </w:p>
        </w:tc>
        <w:tc>
          <w:tcPr>
            <w:tcW w:type="dxa" w:w="154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Chú ý</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USD/VND VCB bán</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26,404</w:t>
            </w:r>
          </w:p>
        </w:tc>
        <w:tc>
          <w:tcPr>
            <w:tcW w:type="dxa" w:w="154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Chú ý</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DXY</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99.26</w:t>
            </w:r>
          </w:p>
        </w:tc>
        <w:tc>
          <w:tcPr>
            <w:tcW w:type="dxa" w:w="154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Theo dõi</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US 10Y</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4.48%</w:t>
            </w:r>
          </w:p>
        </w:tc>
        <w:tc>
          <w:tcPr>
            <w:tcW w:type="dxa" w:w="154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Theo dõi</w:t>
            </w:r>
          </w:p>
        </w:tc>
      </w:tr>
    </w:tbl>
    <w:p>
      <w:pPr>
        <w:spacing w:after="120" w:before="0"/>
      </w:pPr>
      <w:r>
        <w:rPr>
          <w:rFonts w:ascii="Arial" w:cs="Arial" w:eastAsia="Arial" w:hAnsi="Arial"/>
          <w:i w:val="false"/>
          <w:iCs w:val="false"/>
          <w:color w:val="000000"/>
          <w:sz w:val="20"/>
          <w:szCs w:val="20"/>
        </w:rPr>
        <w:t xml:space="preserve">Nhận xét: Tỷ giá là ràng buộc lớn nhất của NHNN. Nếu USD/VND và DXY ổn định, NHNN có dư địa bơm OMO để làm dịu liên ngân hàng. Nếu tỷ giá căng, ưu tiên chính sách sẽ chuyển sang bảo vệ VND, khiến thanh khoản chứng khoán kém thuận lợi hơn.</w:t>
      </w:r>
    </w:p>
    <w:p>
      <w:pPr>
        <w:pBdr>
          <w:bottom w:val="single" w:color="2E75B6" w:sz="4"/>
        </w:pBdr>
        <w:spacing w:after="120" w:before="280"/>
      </w:pPr>
      <w:r>
        <w:rPr>
          <w:rFonts w:ascii="Arial" w:cs="Arial" w:eastAsia="Arial" w:hAnsi="Arial"/>
          <w:b/>
          <w:bCs/>
          <w:color w:val="1F3864"/>
          <w:sz w:val="26"/>
          <w:szCs w:val="26"/>
        </w:rPr>
        <w:t xml:space="preserve">IV. THỊ TRƯỜNG &amp; KHẨU VỊ RỦI RO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0"/>
        <w:gridCol w:w="3000"/>
        <w:gridCol w:w="1546"/>
      </w:tblGrid>
      <w:tr>
        <w:trPr>
          <w:tblHeader/>
        </w:trPr>
        <w:tc>
          <w:tcPr>
            <w:tcW w:type="dxa" w:w="52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pPr>
              <w:jc w:val="left"/>
            </w:pPr>
            <w:r>
              <w:rPr>
                <w:rFonts w:ascii="Arial" w:cs="Arial" w:eastAsia="Arial" w:hAnsi="Arial"/>
                <w:b/>
                <w:bCs/>
                <w:color w:val="FFFFFF"/>
                <w:sz w:val="18"/>
                <w:szCs w:val="18"/>
              </w:rPr>
              <w:t xml:space="preserve">Chỉ số</w:t>
            </w:r>
          </w:p>
        </w:tc>
        <w:tc>
          <w:tcPr>
            <w:tcW w:type="dxa" w:w="30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pPr>
              <w:jc w:val="right"/>
            </w:pPr>
            <w:r>
              <w:rPr>
                <w:rFonts w:ascii="Arial" w:cs="Arial" w:eastAsia="Arial" w:hAnsi="Arial"/>
                <w:b/>
                <w:bCs/>
                <w:color w:val="FFFFFF"/>
                <w:sz w:val="18"/>
                <w:szCs w:val="18"/>
              </w:rPr>
              <w:t xml:space="preserve">Giá trị động mới nhất</w:t>
            </w:r>
          </w:p>
        </w:tc>
        <w:tc>
          <w:tcPr>
            <w:tcW w:type="dxa" w:w="1546"/>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Tín hiệu</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VNINDEX</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1,831.55</w:t>
            </w:r>
          </w:p>
        </w:tc>
        <w:tc>
          <w:tcPr>
            <w:tcW w:type="dxa" w:w="154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Theo dõi</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Thanh khoản thị trường</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23,348 tỷ</w:t>
            </w:r>
          </w:p>
        </w:tc>
        <w:tc>
          <w:tcPr>
            <w:tcW w:type="dxa" w:w="1546"/>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Tốt</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Khối ngoại mua/bán ròng</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-5,742 tỷ</w:t>
            </w:r>
          </w:p>
        </w:tc>
        <w:tc>
          <w:tcPr>
            <w:tcW w:type="dxa" w:w="1546"/>
            <w:tcBorders>
              <w:top w:val="single" w:color="CCCCCC" w:sz="1"/>
              <w:left w:val="single" w:color="CCCCCC" w:sz="1"/>
              <w:bottom w:val="single" w:color="CCCCCC" w:sz="1"/>
              <w:right w:val="single" w:color="CCCCCC" w:sz="1"/>
            </w:tcBorders>
            <w:shd w:fill="FFD7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Rủi ro</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VIX</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15.40</w:t>
            </w:r>
          </w:p>
        </w:tc>
        <w:tc>
          <w:tcPr>
            <w:tcW w:type="dxa" w:w="1546"/>
            <w:tcBorders>
              <w:top w:val="single" w:color="CCCCCC" w:sz="1"/>
              <w:left w:val="single" w:color="CCCCCC" w:sz="1"/>
              <w:bottom w:val="single" w:color="CCCCCC" w:sz="1"/>
              <w:right w:val="single" w:color="CCCCCC" w:sz="1"/>
            </w:tcBorders>
            <w:shd w:fill="D5E8D4"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Tốt</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S&amp;P 500</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7,584.31</w:t>
            </w:r>
          </w:p>
        </w:tc>
        <w:tc>
          <w:tcPr>
            <w:tcW w:type="dxa" w:w="154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Theo dõi</w:t>
            </w:r>
          </w:p>
        </w:tc>
      </w:tr>
    </w:tbl>
    <w:p>
      <w:pPr>
        <w:pBdr>
          <w:bottom w:val="single" w:color="2E75B6" w:sz="4"/>
        </w:pBdr>
        <w:spacing w:after="120" w:before="280"/>
      </w:pPr>
      <w:r>
        <w:rPr>
          <w:rFonts w:ascii="Arial" w:cs="Arial" w:eastAsia="Arial" w:hAnsi="Arial"/>
          <w:b/>
          <w:bCs/>
          <w:color w:val="1F3864"/>
          <w:sz w:val="26"/>
          <w:szCs w:val="26"/>
        </w:rPr>
        <w:t xml:space="preserve">V. HÀNG HÓA &amp; DÒNG TIỀN THAY THẾ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0"/>
        <w:gridCol w:w="3000"/>
        <w:gridCol w:w="1546"/>
      </w:tblGrid>
      <w:tr>
        <w:trPr>
          <w:tblHeader/>
        </w:trPr>
        <w:tc>
          <w:tcPr>
            <w:tcW w:type="dxa" w:w="52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pPr>
              <w:jc w:val="left"/>
            </w:pPr>
            <w:r>
              <w:rPr>
                <w:rFonts w:ascii="Arial" w:cs="Arial" w:eastAsia="Arial" w:hAnsi="Arial"/>
                <w:b/>
                <w:bCs/>
                <w:color w:val="FFFFFF"/>
                <w:sz w:val="18"/>
                <w:szCs w:val="18"/>
              </w:rPr>
              <w:t xml:space="preserve">Chỉ số</w:t>
            </w:r>
          </w:p>
        </w:tc>
        <w:tc>
          <w:tcPr>
            <w:tcW w:type="dxa" w:w="30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pPr>
              <w:jc w:val="right"/>
            </w:pPr>
            <w:r>
              <w:rPr>
                <w:rFonts w:ascii="Arial" w:cs="Arial" w:eastAsia="Arial" w:hAnsi="Arial"/>
                <w:b/>
                <w:bCs/>
                <w:color w:val="FFFFFF"/>
                <w:sz w:val="18"/>
                <w:szCs w:val="18"/>
              </w:rPr>
              <w:t xml:space="preserve">Giá trị động mới nhất</w:t>
            </w:r>
          </w:p>
        </w:tc>
        <w:tc>
          <w:tcPr>
            <w:tcW w:type="dxa" w:w="1546"/>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18"/>
                <w:szCs w:val="18"/>
              </w:rPr>
              <w:t xml:space="preserve">Tín hiệu</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Dầu Brent</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95.29</w:t>
            </w:r>
          </w:p>
        </w:tc>
        <w:tc>
          <w:tcPr>
            <w:tcW w:type="dxa" w:w="1546"/>
            <w:tcBorders>
              <w:top w:val="single" w:color="CCCCCC" w:sz="1"/>
              <w:left w:val="single" w:color="CCCCCC" w:sz="1"/>
              <w:bottom w:val="single" w:color="CCCCCC" w:sz="1"/>
              <w:right w:val="single" w:color="CCCCCC" w:sz="1"/>
            </w:tcBorders>
            <w:shd w:fill="FFD7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Áp lực lạm phát</w:t>
            </w:r>
          </w:p>
        </w:tc>
      </w:tr>
      <w:tr>
        <w:tc>
          <w:tcPr>
            <w:tcW w:type="dxa" w:w="52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left"/>
            </w:pPr>
            <w:r>
              <w:rPr>
                <w:rFonts w:ascii="Arial" w:cs="Arial" w:eastAsia="Arial" w:hAnsi="Arial"/>
                <w:b/>
                <w:bCs/>
                <w:color w:val="000000"/>
                <w:sz w:val="18"/>
                <w:szCs w:val="18"/>
              </w:rPr>
              <w:t xml:space="preserve">Vàng</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vAlign w:val="center"/>
          </w:tcPr>
          <w:p>
            <w:pPr>
              <w:jc w:val="right"/>
            </w:pPr>
            <w:r>
              <w:rPr>
                <w:rFonts w:ascii="Arial" w:cs="Arial" w:eastAsia="Arial" w:hAnsi="Arial"/>
                <w:b w:val="false"/>
                <w:bCs w:val="false"/>
                <w:color w:val="000000"/>
                <w:sz w:val="18"/>
                <w:szCs w:val="18"/>
              </w:rPr>
              <w:t xml:space="preserve">4,453.00</w:t>
            </w:r>
          </w:p>
        </w:tc>
        <w:tc>
          <w:tcPr>
            <w:tcW w:type="dxa" w:w="1546"/>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60"/>
            </w:tcMar>
            <w:vAlign w:val="center"/>
          </w:tcPr>
          <w:p>
            <w:pPr>
              <w:jc w:val="center"/>
            </w:pPr>
            <w:r>
              <w:rPr>
                <w:rFonts w:ascii="Arial" w:cs="Arial" w:eastAsia="Arial" w:hAnsi="Arial"/>
                <w:b w:val="false"/>
                <w:bCs w:val="false"/>
                <w:color w:val="000000"/>
                <w:sz w:val="18"/>
                <w:szCs w:val="18"/>
              </w:rPr>
              <w:t xml:space="preserve">→ Cạnh tranh dòng tiền</w:t>
            </w:r>
          </w:p>
        </w:tc>
      </w:tr>
    </w:tbl>
    <w:p>
      <w:pPr>
        <w:pBdr>
          <w:bottom w:val="single" w:color="2E75B6" w:sz="4"/>
        </w:pBdr>
        <w:spacing w:after="120" w:before="280"/>
      </w:pPr>
      <w:r>
        <w:rPr>
          <w:rFonts w:ascii="Arial" w:cs="Arial" w:eastAsia="Arial" w:hAnsi="Arial"/>
          <w:b/>
          <w:bCs/>
          <w:color w:val="1F3864"/>
          <w:sz w:val="26"/>
          <w:szCs w:val="26"/>
        </w:rPr>
        <w:t xml:space="preserve">VI. KẾT LUẬN HÀNH ĐỘNG</w:t>
      </w:r>
    </w:p>
    <w:p>
      <w:pPr>
        <w:spacing w:after="120" w:before="0"/>
      </w:pPr>
      <w:r>
        <w:rPr>
          <w:rFonts w:ascii="Arial" w:cs="Arial" w:eastAsia="Arial" w:hAnsi="Arial"/>
          <w:i w:val="false"/>
          <w:iCs w:val="false"/>
          <w:color w:val="000000"/>
          <w:sz w:val="20"/>
          <w:szCs w:val="20"/>
        </w:rPr>
        <w:t xml:space="preserve">1. Trạng thái hiện tại nên là thận trọng/có chọn lọc, không dùng margin cao khi liên ngân hàng còn cao.</w:t>
      </w:r>
    </w:p>
    <w:p>
      <w:pPr>
        <w:spacing w:after="120" w:before="0"/>
      </w:pPr>
      <w:r>
        <w:rPr>
          <w:rFonts w:ascii="Arial" w:cs="Arial" w:eastAsia="Arial" w:hAnsi="Arial"/>
          <w:i w:val="false"/>
          <w:iCs w:val="false"/>
          <w:color w:val="000000"/>
          <w:sz w:val="20"/>
          <w:szCs w:val="20"/>
        </w:rPr>
        <w:t xml:space="preserve">2. Chỉ chuyển sang risk-on rõ hơn nếu liên NH ON hạ dưới 5%, OMO tiếp tục bơm ròng, USD/VND ổn định và khối ngoại giảm bán.</w:t>
      </w:r>
    </w:p>
    <w:p>
      <w:pPr>
        <w:spacing w:after="120" w:before="0"/>
      </w:pPr>
      <w:r>
        <w:rPr>
          <w:rFonts w:ascii="Arial" w:cs="Arial" w:eastAsia="Arial" w:hAnsi="Arial"/>
          <w:i w:val="false"/>
          <w:iCs w:val="false"/>
          <w:color w:val="000000"/>
          <w:sz w:val="20"/>
          <w:szCs w:val="20"/>
        </w:rPr>
        <w:t xml:space="preserve">3. Ưu tiên nhóm hưởng lợi tăng trưởng thực như KCN, logistics, xuất khẩu, điện công nghiệp; tránh doanh nghiệp đòn bẩy cao khi lãi suất còn căng.</w:t>
      </w:r>
    </w:p>
    <w:p>
      <w:pPr>
        <w:spacing w:after="120" w:before="0"/>
      </w:pPr>
      <w:r>
        <w:rPr>
          <w:rFonts w:ascii="Arial" w:cs="Arial" w:eastAsia="Arial" w:hAnsi="Arial"/>
          <w:i w:val="false"/>
          <w:iCs w:val="false"/>
          <w:color w:val="000000"/>
          <w:sz w:val="20"/>
          <w:szCs w:val="20"/>
        </w:rPr>
        <w:t xml:space="preserve">4. Tín phiếu NHNN hiện chưa có số public ổn định trên trang SBV visible; báo cáo giữ trạng thái thiếu dữ liệu thay vì tự bịa số.</w:t>
      </w:r>
    </w:p>
    <w:p>
      <w:pPr>
        <w:spacing w:after="120" w:before="240"/>
      </w:pPr>
      <w:r>
        <w:rPr>
          <w:rFonts w:ascii="Arial" w:cs="Arial" w:eastAsia="Arial" w:hAnsi="Arial"/>
          <w:b/>
          <w:bCs/>
          <w:i w:val="false"/>
          <w:iCs w:val="false"/>
          <w:color w:val="000000"/>
          <w:sz w:val="20"/>
          <w:szCs w:val="20"/>
        </w:rPr>
        <w:t xml:space="preserve">Nguồn dữ liệu động</w:t>
      </w:r>
    </w:p>
    <w:p>
      <w:pPr>
        <w:spacing w:after="120" w:before="0"/>
      </w:pPr>
      <w:r>
        <w:rPr>
          <w:rFonts w:ascii="Arial" w:cs="Arial" w:eastAsia="Arial" w:hAnsi="Arial"/>
          <w:i w:val="false"/>
          <w:iCs w:val="false"/>
          <w:color w:val="000000"/>
          <w:sz w:val="20"/>
          <w:szCs w:val="20"/>
        </w:rPr>
        <w:t xml:space="preserve">History: FA\data\history</w:t>
      </w:r>
    </w:p>
    <w:p>
      <w:pPr>
        <w:spacing w:after="120" w:before="0"/>
      </w:pPr>
      <w:r>
        <w:rPr>
          <w:rFonts w:ascii="Arial" w:cs="Arial" w:eastAsia="Arial" w:hAnsi="Arial"/>
          <w:i w:val="false"/>
          <w:iCs w:val="false"/>
          <w:color w:val="000000"/>
          <w:sz w:val="20"/>
          <w:szCs w:val="20"/>
        </w:rPr>
        <w:t xml:space="preserve">SBV liquidity: FA\data\sbv_liquidity\latest.json</w:t>
      </w:r>
    </w:p>
    <w:p>
      <w:pPr>
        <w:spacing w:after="120" w:before="0"/>
      </w:pPr>
      <w:r>
        <w:rPr>
          <w:rFonts w:ascii="Arial" w:cs="Arial" w:eastAsia="Arial" w:hAnsi="Arial"/>
          <w:i w:val="false"/>
          <w:iCs w:val="false"/>
          <w:color w:val="000000"/>
          <w:sz w:val="20"/>
          <w:szCs w:val="20"/>
        </w:rPr>
        <w:t xml:space="preserve">Pinetree: https://pinetree.vn/post/20260605/ban-tin-sang-05-06-2026/</w:t>
      </w:r>
    </w:p>
    <w:p>
      <w:pPr>
        <w:spacing w:after="120" w:before="0"/>
      </w:pPr>
      <w:r>
        <w:rPr>
          <w:rFonts w:ascii="Arial" w:cs="Arial" w:eastAsia="Arial" w:hAnsi="Arial"/>
          <w:i/>
          <w:iCs/>
          <w:color w:val="666666"/>
          <w:sz w:val="20"/>
          <w:szCs w:val="20"/>
        </w:rPr>
        <w:t xml:space="preserve">DISCLAIMER: Báo cáo này là tài liệu phân tích nội bộ, không phải lời khuyên đầu tư cá nhân hóa.</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spacing w:before="80"/>
      <w:jc w:val="center"/>
    </w:pPr>
    <w:r>
      <w:rPr>
        <w:rFonts w:ascii="Arial" w:cs="Arial" w:eastAsia="Arial" w:hAnsi="Arial"/>
        <w:color w:val="999999"/>
        <w:sz w:val="16"/>
        <w:szCs w:val="16"/>
      </w:rPr>
      <w:t xml:space="preserve">Trang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Phân tích nội bộ – không phải lời khuyên đầu tư cá nhân hóa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80"/>
      <w:jc w:val="right"/>
    </w:pPr>
    <w:r>
      <w:rPr>
        <w:rFonts w:ascii="Arial" w:cs="Arial" w:eastAsia="Arial" w:hAnsi="Arial"/>
        <w:i/>
        <w:iCs/>
        <w:color w:val="666666"/>
        <w:sz w:val="16"/>
        <w:szCs w:val="16"/>
      </w:rPr>
      <w:t xml:space="preserve">BÁO CÁO VĨ MÔ ĐỘNG | LH Investment | 2026-06-05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2026-06-05T09:33:07.216Z</dcterms:created>
  <dcterms:modified xsi:type="dcterms:W3CDTF">2026-06-05T09:33:07.217Z</dcterms:modified>
</cp:coreProperties>
</file>

<file path=docProps/custom.xml><?xml version="1.0" encoding="utf-8"?>
<Properties xmlns="http://schemas.openxmlformats.org/officeDocument/2006/custom-properties" xmlns:vt="http://schemas.openxmlformats.org/officeDocument/2006/docPropsVTypes"/>
</file>