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  <w:spacing w:before="0" w:after="0" w:line="252" w:lineRule="auto"/>
        <w:jc w:val="center"/>
      </w:pPr>
      <w:r>
        <w:t>Vladimir Ivanov</w:t>
      </w:r>
    </w:p>
    <w:p>
      <w:pPr>
        <w:pStyle w:val="TitleStyle"/>
        <w:spacing w:before="0" w:after="20" w:line="252" w:lineRule="auto"/>
        <w:jc w:val="center"/>
      </w:pPr>
      <w:r>
        <w:t>AI-Native Software Engineer</w:t>
      </w:r>
    </w:p>
    <w:p>
      <w:pPr>
        <w:pStyle w:val="BodyTight"/>
        <w:spacing w:before="0" w:after="60" w:line="252" w:lineRule="auto"/>
        <w:jc w:val="center"/>
      </w:pPr>
      <w:r>
        <w:t>Seattle, WA  |  email@example.com  |  linkedin.com/in/your-link  |  github.com/your-handle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4FA"/>
            <w:tcBorders>
              <w:top w:val="single" w:sz="8" w:color="9EB6CE"/>
              <w:left w:val="single" w:sz="8" w:color="9EB6CE"/>
              <w:bottom w:val="single" w:sz="8" w:color="9EB6CE"/>
              <w:right w:val="single" w:sz="8" w:color="9EB6CE"/>
            </w:tcBorders>
            <w:vAlign w:val="center"/>
          </w:tcPr>
          <w:p>
            <w:pPr>
              <w:pStyle w:val="BodyTight"/>
              <w:spacing w:after="0" w:before="0"/>
            </w:pPr>
            <w:r>
              <w:rPr>
                <w:b/>
              </w:rPr>
              <w:t xml:space="preserve">Targeted tight cut: </w:t>
            </w:r>
            <w:r>
              <w:t>AI-native product delivery, agent orchestration, structured specs, governed workflows, and context reliability. PT-2 is presented as the supporting proof artifact rather than the headline identity.</w:t>
            </w:r>
          </w:p>
        </w:tc>
      </w:tr>
    </w:tbl>
    <w:p>
      <w:pPr>
        <w:pStyle w:val="SectionStyle"/>
      </w:pPr>
      <w:r>
        <w:t>PROFESSIONAL SUMMARY</w:t>
      </w:r>
    </w:p>
    <w:p>
      <w:pPr>
        <w:pStyle w:val="BodyTight"/>
        <w:spacing w:before="0" w:after="40" w:line="252" w:lineRule="auto"/>
      </w:pPr>
      <w:r>
        <w:rPr>
          <w:b w:val="0"/>
        </w:rPr>
        <w:t xml:space="preserve">AI-native software engineer who builds products through </w:t>
      </w:r>
      <w:r>
        <w:rPr>
          <w:b/>
        </w:rPr>
        <w:t>agent orchestration</w:t>
      </w:r>
      <w:r>
        <w:t xml:space="preserve">, </w:t>
      </w:r>
      <w:r>
        <w:rPr>
          <w:b/>
        </w:rPr>
        <w:t>structured specification</w:t>
      </w:r>
      <w:r>
        <w:t xml:space="preserve">, </w:t>
      </w:r>
      <w:r>
        <w:rPr>
          <w:b/>
        </w:rPr>
        <w:t>governed AI workflows</w:t>
      </w:r>
      <w:r>
        <w:t xml:space="preserve">, </w:t>
      </w:r>
      <w:r>
        <w:rPr>
          <w:b/>
        </w:rPr>
        <w:t>output evaluation</w:t>
      </w:r>
      <w:r>
        <w:t xml:space="preserve">, </w:t>
      </w:r>
      <w:r>
        <w:rPr>
          <w:b/>
        </w:rPr>
        <w:t>tool integration</w:t>
      </w:r>
      <w:r>
        <w:t xml:space="preserve">, </w:t>
      </w:r>
      <w:r>
        <w:rPr>
          <w:b/>
        </w:rPr>
        <w:t>persistent context systems</w:t>
      </w:r>
      <w:r>
        <w:t>. Experienced translating ambiguous operational needs into execution-ready artifacts, routing work across specialized AI skills, and enforcing quality through hooks, validation gates, adversarial review, and checkpoint-resumable workflows. Built these capabilities while developing PT-2, a production-minded operational platform where AI served as the delivery mechanism rather than a superficial feature layer.</w:t>
      </w:r>
    </w:p>
    <w:p>
      <w:pPr>
        <w:pStyle w:val="SectionStyle"/>
      </w:pPr>
      <w:r>
        <w:t>AI-NATIVE ENGINEERING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7FAFD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Agent Orchestration</w:t>
            </w:r>
          </w:p>
        </w:tc>
        <w:tc>
          <w:tcPr>
            <w:tcW w:type="dxa" w:w="2520"/>
            <w:shd w:fill="F7FAFD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Requirement-to-Spec Translation</w:t>
            </w:r>
          </w:p>
        </w:tc>
        <w:tc>
          <w:tcPr>
            <w:tcW w:type="dxa" w:w="2520"/>
            <w:shd w:fill="F7FAFD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AI Output Governance</w:t>
            </w:r>
          </w:p>
        </w:tc>
        <w:tc>
          <w:tcPr>
            <w:tcW w:type="dxa" w:w="2520"/>
            <w:shd w:fill="F7FAFD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Workflow Instrumentation</w:t>
            </w:r>
          </w:p>
        </w:tc>
      </w:tr>
      <w:tr>
        <w:tc>
          <w:tcPr>
            <w:tcW w:type="dxa" w:w="2520"/>
            <w:shd w:fill="FFFFFF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Pattern Documentation</w:t>
            </w:r>
          </w:p>
        </w:tc>
        <w:tc>
          <w:tcPr>
            <w:tcW w:type="dxa" w:w="2520"/>
            <w:shd w:fill="FFFFFF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Context Persistence</w:t>
            </w:r>
          </w:p>
        </w:tc>
        <w:tc>
          <w:tcPr>
            <w:tcW w:type="dxa" w:w="2520"/>
            <w:shd w:fill="FFFFFF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Tool / MCP Integration</w:t>
            </w:r>
          </w:p>
        </w:tc>
        <w:tc>
          <w:tcPr>
            <w:tcW w:type="dxa" w:w="2520"/>
            <w:shd w:fill="FFFFFF"/>
            <w:tcBorders>
              <w:top w:val="single" w:sz="4" w:color="D0DAE4"/>
              <w:left w:val="single" w:sz="4" w:color="D0DAE4"/>
              <w:bottom w:val="single" w:sz="4" w:color="D0DAE4"/>
              <w:right w:val="single" w:sz="4" w:color="D0DAE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/>
                <w:b/>
                <w:sz w:val="18"/>
              </w:rPr>
              <w:t>Full-Stack Delivery</w:t>
            </w:r>
          </w:p>
        </w:tc>
      </w:tr>
    </w:tbl>
    <w:p>
      <w:pPr>
        <w:pStyle w:val="SectionStyle"/>
      </w:pPr>
      <w:r>
        <w:t>TARGETED STACK</w:t>
      </w:r>
    </w:p>
    <w:p>
      <w:pPr>
        <w:pStyle w:val="BodyTight"/>
        <w:spacing w:before="0" w:after="0" w:line="252" w:lineRule="auto"/>
      </w:pPr>
      <w:r>
        <w:rPr>
          <w:b/>
        </w:rPr>
        <w:t xml:space="preserve">AI-native workflow layer: </w:t>
      </w:r>
      <w:r>
        <w:t>Claude Code, hooks, custom skills/subagents, structured prompting, execution specs, validation gates, adversarial review workflows, memory systems, checkpoint-resumable pipelines, MCP-integrated tooling.</w:t>
      </w:r>
    </w:p>
    <w:p>
      <w:pPr>
        <w:pStyle w:val="BodyTight"/>
        <w:spacing w:before="0" w:after="20" w:line="252" w:lineRule="auto"/>
      </w:pPr>
      <w:r>
        <w:rPr>
          <w:b/>
        </w:rPr>
        <w:t xml:space="preserve">Product engineering layer: </w:t>
      </w:r>
      <w:r>
        <w:t>TypeScript, Next.js, React, Supabase, PostgreSQL, RLS, API design, E2E testing, governance-oriented CI/CD hardening, Vercel.</w:t>
      </w:r>
    </w:p>
    <w:p>
      <w:pPr>
        <w:pStyle w:val="SectionStyle"/>
      </w:pPr>
      <w:r>
        <w:t>EXPERIENCE</w:t>
      </w:r>
    </w:p>
    <w:p>
      <w:pPr>
        <w:pStyle w:val="JobHeader"/>
      </w:pPr>
      <w:r>
        <w:t>Lead Software Engineer — PT-2 Player Tracker</w:t>
      </w:r>
    </w:p>
    <w:p>
      <w:pPr>
        <w:pStyle w:val="JobMeta"/>
      </w:pPr>
      <w:r>
        <w:t>Independent / Product Build  |  2025–Present  |  Seattle, WA</w:t>
      </w:r>
    </w:p>
    <w:p>
      <w:pPr>
        <w:pStyle w:val="BodyTight"/>
        <w:spacing w:before="0" w:after="40" w:line="252" w:lineRule="auto"/>
      </w:pPr>
      <w:r>
        <w:t xml:space="preserve">Production-minded operational platform for casino floor management, session tracking, cash accountability, and compliance workflows. </w:t>
      </w:r>
      <w:r>
        <w:rPr>
          <w:i/>
        </w:rPr>
        <w:t>Used here as the principal proof artifact for AI-native engineering capability.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Architected a two-pipeline AI-native SDLC that separated feature design from execution, routing work across specialized AI skills for architecture, backend services, API design, RLS, QA, performance, and end-to-end validation.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Operationalized Claude Code into a governed engineering workflow using CLAUDE.md, slash-command entrypoints, lifecycle hooks, expert routing, and pre/post-tool controls to standardize how AI-assisted work was produced and reviewed.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Translated ambiguous operator and product requirements into structured intake briefs, PRDs, and execution-ready specs, giving agent workflows clearer boundaries and reducing downstream ambiguity during implementation.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Built a cross-session memory and checkpoint system that preserved decisions, progress state, and architectural constraints across long-running work, reducing restart friction and limiting context drift.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Exposed bounded tool surfaces spanning documentation, browser automation, research, deployment, and database operations so AI workflows could act directly on the system rather than rely on repeated manual prompt injection.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Designed adversarial review and validation gates to evaluate AI-generated artifacts for architecture quality, security, implementation completeness, testing expectations, and performance risk before execution.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Applied the AI-native delivery model to a real product surface spanning floor oversight, rating/session workflows, loyalty and telemetry considerations, audit/compliance workflows, and administrative control surfaces.</w:t>
      </w:r>
    </w:p>
    <w:p>
      <w:pPr>
        <w:pStyle w:val="JobHeader"/>
      </w:pPr>
      <w:r>
        <w:t>Full Stack Developer Intern — Hiretalk.io</w:t>
      </w:r>
    </w:p>
    <w:p>
      <w:pPr>
        <w:pStyle w:val="JobMeta"/>
      </w:pPr>
      <w:r>
        <w:t>2023–Present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Contributed to a hiring process platform using React, Next.js, TypeScript, and Neo4j, improving front-end performance and maintainability in a production-style team environment.</w:t>
      </w:r>
    </w:p>
    <w:p>
      <w:pPr>
        <w:pStyle w:val="BulletTight"/>
        <w:ind w:left="259" w:hanging="173"/>
      </w:pPr>
      <w:r>
        <w:rPr>
          <w:b/>
        </w:rPr>
        <w:t xml:space="preserve">• </w:t>
      </w:r>
      <w:r>
        <w:t>Collaborated across application and AI-adjacent concerns, providing additional evidence of end-to-end product engineering beyond the PT-2 case study.</w:t>
      </w:r>
    </w:p>
    <w:p>
      <w:pPr>
        <w:pStyle w:val="SectionStyle"/>
      </w:pPr>
      <w:r>
        <w:t>SELECTED AI-NATIVE SYSTEMS WORK</w:t>
      </w:r>
    </w:p>
    <w:p>
      <w:pPr>
        <w:pStyle w:val="BodyTight"/>
        <w:spacing w:before="0" w:after="10" w:line="252" w:lineRule="auto"/>
      </w:pPr>
      <w:r>
        <w:rPr>
          <w:b/>
        </w:rPr>
        <w:t xml:space="preserve">AI-Native Delivery Architecture: </w:t>
      </w:r>
      <w:r>
        <w:t>Designed a design-to-execution operating model in which structured artifacts, specialist skills, and phase gates governed how software moved from problem framing to implementation.</w:t>
      </w:r>
    </w:p>
    <w:p>
      <w:pPr>
        <w:pStyle w:val="BodyTight"/>
        <w:spacing w:before="0" w:after="10" w:line="252" w:lineRule="auto"/>
      </w:pPr>
      <w:r>
        <w:rPr>
          <w:b/>
        </w:rPr>
        <w:t xml:space="preserve">Memori Context Engine: </w:t>
      </w:r>
      <w:r>
        <w:t>Built a persistent memory substrate for cross-session continuity, semantic recall, per-skill learning, and resumable work across long-running agent-assisted sessions.</w:t>
      </w:r>
    </w:p>
    <w:p>
      <w:pPr>
        <w:pStyle w:val="BodyTight"/>
        <w:spacing w:before="0" w:after="10" w:line="252" w:lineRule="auto"/>
      </w:pPr>
      <w:r>
        <w:rPr>
          <w:b/>
        </w:rPr>
        <w:t xml:space="preserve">Governed Execution Workflow: </w:t>
      </w:r>
      <w:r>
        <w:t>Used hooks, approval gates, prompt linting, and post-change quality routines to make AI-assisted software delivery more deterministic and easier to audit.</w:t>
      </w:r>
    </w:p>
    <w:p>
      <w:pPr>
        <w:pStyle w:val="SectionStyle"/>
      </w:pPr>
      <w:r>
        <w:t>EDUCATION</w:t>
      </w:r>
    </w:p>
    <w:p>
      <w:pPr>
        <w:pStyle w:val="BodyTight"/>
        <w:spacing w:before="0" w:after="0" w:line="252" w:lineRule="auto"/>
      </w:pPr>
      <w:r>
        <w:rPr>
          <w:b/>
        </w:rPr>
        <w:t>Bachelor of Applied Science in Software Development</w:t>
      </w:r>
      <w:r>
        <w:t xml:space="preserve"> — Green River College</w:t>
      </w:r>
    </w:p>
    <w:p>
      <w:pPr>
        <w:pStyle w:val="BodyTight"/>
        <w:spacing w:before="0" w:after="0" w:line="252" w:lineRule="auto"/>
      </w:pPr>
      <w:r>
        <w:t>AAS in Cyber Security and Networking — Green River College</w:t>
      </w:r>
    </w:p>
    <w:p>
      <w:pPr>
        <w:pStyle w:val="SectionStyle"/>
      </w:pPr>
      <w:r>
        <w:t>NOTE</w:t>
      </w:r>
    </w:p>
    <w:p>
      <w:pPr>
        <w:pStyle w:val="BodyTight"/>
        <w:spacing w:before="0" w:after="0" w:line="252" w:lineRule="auto"/>
      </w:pPr>
      <w:r>
        <w:t xml:space="preserve">This draft is intentionally optimized as a </w:t>
      </w:r>
      <w:r>
        <w:rPr>
          <w:b/>
        </w:rPr>
        <w:t>tight cut</w:t>
      </w:r>
      <w:r>
        <w:t xml:space="preserve"> for AI-native roles: the method is primary, and PT-2 is the supporting evidence artifact. Replace placeholders in the header before use.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basedOn w:val="Normal"/>
    <w:pPr>
      <w:spacing w:before="0" w:after="40"/>
    </w:pPr>
    <w:rPr>
      <w:rFonts w:ascii="Aptos" w:hAnsi="Aptos"/>
      <w:b/>
      <w:color w:val="183A59"/>
      <w:sz w:val="40"/>
    </w:rPr>
  </w:style>
  <w:style w:type="paragraph" w:customStyle="1" w:styleId="TitleStyle">
    <w:name w:val="TitleStyle"/>
    <w:basedOn w:val="Normal"/>
    <w:pPr>
      <w:spacing w:before="0" w:after="60"/>
    </w:pPr>
    <w:rPr>
      <w:rFonts w:ascii="Aptos" w:hAnsi="Aptos"/>
      <w:b/>
      <w:color w:val="305F8C"/>
      <w:sz w:val="23"/>
    </w:rPr>
  </w:style>
  <w:style w:type="paragraph" w:customStyle="1" w:styleId="SectionStyle">
    <w:name w:val="SectionStyle"/>
    <w:basedOn w:val="Normal"/>
    <w:pPr>
      <w:spacing w:before="160" w:after="60"/>
    </w:pPr>
    <w:rPr>
      <w:rFonts w:ascii="Aptos" w:hAnsi="Aptos"/>
      <w:b/>
      <w:color w:val="183A59"/>
      <w:sz w:val="21"/>
    </w:rPr>
  </w:style>
  <w:style w:type="paragraph" w:customStyle="1" w:styleId="BodyTight">
    <w:name w:val="BodyTight"/>
    <w:basedOn w:val="Normal"/>
    <w:pPr>
      <w:spacing w:before="0" w:after="40"/>
    </w:pPr>
    <w:rPr>
      <w:rFonts w:ascii="Aptos" w:hAnsi="Aptos"/>
      <w:b w:val="0"/>
      <w:sz w:val="20"/>
    </w:rPr>
  </w:style>
  <w:style w:type="paragraph" w:customStyle="1" w:styleId="BulletTight">
    <w:name w:val="BulletTight"/>
    <w:basedOn w:val="Normal"/>
    <w:pPr>
      <w:spacing w:before="0" w:after="16"/>
    </w:pPr>
    <w:rPr>
      <w:rFonts w:ascii="Aptos" w:hAnsi="Aptos"/>
      <w:b w:val="0"/>
      <w:sz w:val="20"/>
    </w:rPr>
  </w:style>
  <w:style w:type="paragraph" w:customStyle="1" w:styleId="SmallCapsish">
    <w:name w:val="SmallCapsish"/>
    <w:basedOn w:val="Normal"/>
    <w:pPr>
      <w:spacing w:before="0" w:after="60"/>
    </w:pPr>
    <w:rPr>
      <w:rFonts w:ascii="Aptos" w:hAnsi="Aptos"/>
      <w:b/>
      <w:color w:val="5C6F82"/>
      <w:sz w:val="18"/>
    </w:rPr>
  </w:style>
  <w:style w:type="paragraph" w:customStyle="1" w:styleId="JobHeader">
    <w:name w:val="JobHeader"/>
    <w:basedOn w:val="Normal"/>
    <w:pPr>
      <w:spacing w:before="0" w:after="0"/>
    </w:pPr>
    <w:rPr>
      <w:rFonts w:ascii="Aptos" w:hAnsi="Aptos"/>
      <w:b/>
      <w:color w:val="183A59"/>
      <w:sz w:val="22"/>
    </w:rPr>
  </w:style>
  <w:style w:type="paragraph" w:customStyle="1" w:styleId="JobMeta">
    <w:name w:val="JobMeta"/>
    <w:basedOn w:val="Normal"/>
    <w:pPr>
      <w:spacing w:before="0" w:after="40"/>
    </w:pPr>
    <w:rPr>
      <w:rFonts w:ascii="Aptos" w:hAnsi="Aptos"/>
      <w:b w:val="0"/>
      <w:color w:val="5C6F8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