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ourier New" w:hAnsi="Courier New"/>
          <w:b/>
          <w:i w:val="0"/>
          <w:smallCaps w:val="0"/>
          <w:color w:val="000000"/>
          <w:sz w:val="36"/>
          <w:spacing w:val="50"/>
        </w:rPr>
        <w:t>VLADIMIR IVANOV</w:t>
      </w:r>
    </w:p>
    <w:p>
      <w:pPr>
        <w:spacing w:before="0" w:after="40"/>
        <w:jc w:val="center"/>
      </w:pPr>
      <w:r>
        <w:rPr>
          <w:rFonts w:ascii="Palatino Linotype" w:hAnsi="Palatino Linotype"/>
          <w:b w:val="0"/>
          <w:i/>
          <w:smallCaps w:val="0"/>
          <w:color w:val="464646"/>
          <w:sz w:val="21"/>
        </w:rPr>
        <w:t>AI-Native Software Engineer</w:t>
      </w:r>
    </w:p>
    <w:p>
      <w:pPr>
        <w:spacing w:before="0" w:after="0"/>
        <w:jc w:val="center"/>
        <w:pBdr>
          <w:bottom w:val="single" w:sz="6" w:space="1" w:color="000000"/>
        </w:pBdr>
      </w:pPr>
      <w:r>
        <w:rPr>
          <w:rFonts w:ascii="Palatino Linotype" w:hAnsi="Palatino Linotype"/>
          <w:b w:val="0"/>
          <w:i w:val="0"/>
          <w:smallCaps w:val="0"/>
          <w:color w:val="464646"/>
          <w:sz w:val="18"/>
        </w:rPr>
        <w:t>Seattle, WA  |  email@example.com  |  linkedin.com/in/your-link  |  github.com/your-handle</w:t>
      </w:r>
    </w:p>
    <w:p>
      <w:pPr>
        <w:spacing w:before="260" w:after="80"/>
        <w:jc w:val="left"/>
        <w:pBdr>
          <w:bottom w:val="single" w:sz="4" w:space="1" w:color="000000"/>
        </w:pBdr>
      </w:pPr>
      <w:r>
        <w:rPr>
          <w:rFonts w:ascii="Courier New" w:hAnsi="Courier New"/>
          <w:b/>
          <w:i w:val="0"/>
          <w:smallCaps w:val="0"/>
          <w:color w:val="000000"/>
          <w:sz w:val="16"/>
        </w:rPr>
        <w:t xml:space="preserve">01.  </w:t>
      </w:r>
      <w:r>
        <w:rPr>
          <w:rFonts w:ascii="Palatino Linotype" w:hAnsi="Palatino Linotype"/>
          <w:b/>
          <w:i w:val="0"/>
          <w:smallCaps w:val="0"/>
          <w:color w:val="000000"/>
          <w:sz w:val="17"/>
          <w:spacing w:val="18"/>
        </w:rPr>
        <w:t>PROFESSIONAL SUMMARY</w:t>
      </w:r>
    </w:p>
    <w:p>
      <w:pPr>
        <w:spacing w:before="40" w:after="0" w:line="270" w:lineRule="exact"/>
      </w:pPr>
      <w:r>
        <w:rPr>
          <w:rFonts w:ascii="Palatino Linotype" w:hAnsi="Palatino Linotype"/>
          <w:b w:val="0"/>
          <w:i w:val="0"/>
          <w:smallCaps w:val="0"/>
          <w:sz w:val="20"/>
        </w:rPr>
        <w:t>AI-native software engineer building full-stack applications through agent orchestration rather than manual linear coding. Designed a governed delivery system for PT-2 that turns operator requirements into structured execution specifications, routes work to specialized AI skills, persists cross-session context, and enforces quality through hooks, validation gates, adversarial review, and checkpoint-resumable workflows. Strong across agentic orchestration, Claude Code workflow engineering, structured prompting, and context reliability — with practical experience shipping AI-assisted systems against real operational constraints.</w:t>
      </w:r>
    </w:p>
    <w:p>
      <w:pPr>
        <w:spacing w:before="260" w:after="80"/>
        <w:jc w:val="left"/>
        <w:pBdr>
          <w:bottom w:val="single" w:sz="4" w:space="1" w:color="000000"/>
        </w:pBdr>
      </w:pPr>
      <w:r>
        <w:rPr>
          <w:rFonts w:ascii="Courier New" w:hAnsi="Courier New"/>
          <w:b/>
          <w:i w:val="0"/>
          <w:smallCaps w:val="0"/>
          <w:color w:val="000000"/>
          <w:sz w:val="16"/>
        </w:rPr>
        <w:t xml:space="preserve">02.  </w:t>
      </w:r>
      <w:r>
        <w:rPr>
          <w:rFonts w:ascii="Palatino Linotype" w:hAnsi="Palatino Linotype"/>
          <w:b/>
          <w:i w:val="0"/>
          <w:smallCaps w:val="0"/>
          <w:color w:val="000000"/>
          <w:sz w:val="17"/>
          <w:spacing w:val="18"/>
        </w:rPr>
        <w:t>CORE COMPETENCIES</w:t>
      </w:r>
    </w:p>
    <w:p>
      <w:pPr>
        <w:spacing w:before="60" w:after="40" w:line="260" w:lineRule="exact"/>
      </w:pPr>
      <w:r>
        <w:rPr>
          <w:rFonts w:ascii="Palatino Linotype" w:hAnsi="Palatino Linotype"/>
          <w:b/>
          <w:i w:val="0"/>
          <w:smallCaps w:val="0"/>
          <w:sz w:val="19"/>
        </w:rPr>
        <w:t xml:space="preserve">AI-native workflow:  </w:t>
      </w:r>
      <w:r>
        <w:rPr>
          <w:rFonts w:ascii="Palatino Linotype" w:hAnsi="Palatino Linotype"/>
          <w:b w:val="0"/>
          <w:i w:val="0"/>
          <w:smallCaps w:val="0"/>
          <w:sz w:val="19"/>
        </w:rPr>
        <w:t>Claude Code  ·  hooks &amp; lifecycle controls  ·  custom skills / subagents  ·  structured prompting  ·  execution specifications  ·  validation gates  ·  adversarial review  ·  checkpoint-resumable pipelines  ·  MCP tooling  ·  cross-session memory systems</w:t>
      </w:r>
    </w:p>
    <w:p>
      <w:pPr>
        <w:spacing w:before="60" w:after="40" w:line="260" w:lineRule="exact"/>
      </w:pPr>
      <w:r>
        <w:rPr>
          <w:rFonts w:ascii="Palatino Linotype" w:hAnsi="Palatino Linotype"/>
          <w:b/>
          <w:i w:val="0"/>
          <w:smallCaps w:val="0"/>
          <w:sz w:val="19"/>
        </w:rPr>
        <w:t xml:space="preserve">Product engineering:  </w:t>
      </w:r>
      <w:r>
        <w:rPr>
          <w:rFonts w:ascii="Palatino Linotype" w:hAnsi="Palatino Linotype"/>
          <w:b w:val="0"/>
          <w:i w:val="0"/>
          <w:smallCaps w:val="0"/>
          <w:sz w:val="19"/>
        </w:rPr>
        <w:t>TypeScript  ·  Next.js  ·  React  ·  Supabase  ·  PostgreSQL  ·  RLS  ·  API design  ·  E2E testing  ·  governance-oriented CI/CD  ·  Vercel</w:t>
      </w:r>
    </w:p>
    <w:p>
      <w:pPr>
        <w:spacing w:before="260" w:after="80"/>
        <w:jc w:val="left"/>
        <w:pBdr>
          <w:bottom w:val="single" w:sz="4" w:space="1" w:color="000000"/>
        </w:pBdr>
      </w:pPr>
      <w:r>
        <w:rPr>
          <w:rFonts w:ascii="Courier New" w:hAnsi="Courier New"/>
          <w:b/>
          <w:i w:val="0"/>
          <w:smallCaps w:val="0"/>
          <w:color w:val="000000"/>
          <w:sz w:val="16"/>
        </w:rPr>
        <w:t xml:space="preserve">03.  </w:t>
      </w:r>
      <w:r>
        <w:rPr>
          <w:rFonts w:ascii="Palatino Linotype" w:hAnsi="Palatino Linotype"/>
          <w:b/>
          <w:i w:val="0"/>
          <w:smallCaps w:val="0"/>
          <w:color w:val="000000"/>
          <w:sz w:val="17"/>
          <w:spacing w:val="18"/>
        </w:rPr>
        <w:t>EXPERIENCE</w:t>
      </w:r>
    </w:p>
    <w:p>
      <w:pPr>
        <w:spacing w:before="140" w:after="0"/>
      </w:pPr>
      <w:r>
        <w:rPr>
          <w:rFonts w:ascii="Palatino Linotype" w:hAnsi="Palatino Linotype"/>
          <w:b/>
          <w:i w:val="0"/>
          <w:smallCaps w:val="0"/>
          <w:sz w:val="21"/>
        </w:rPr>
        <w:t>Lead Software Engineer — PT-2 Player Tracker</w:t>
      </w:r>
    </w:p>
    <w:p>
      <w:pPr>
        <w:spacing w:before="20" w:after="80"/>
      </w:pPr>
      <w:r>
        <w:rPr>
          <w:rFonts w:ascii="Courier New" w:hAnsi="Courier New"/>
          <w:b w:val="0"/>
          <w:i w:val="0"/>
          <w:smallCaps w:val="0"/>
          <w:color w:val="464646"/>
          <w:sz w:val="17"/>
        </w:rPr>
        <w:t>Independent / Product Build  ·  2025–Present  ·  Seattle, WA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Architected a two-pipeline AI-native SDLC separating feature design from execution, enabling requirements-to-build handoff through structured artifacts, phase gates, and resumable agent workflows.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Orchestrated specialized AI skills for architecture, backend services, API design, RLS, QA, performance, and E2E testing — delegating to bounded expert agents rather than a single generalist.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Operationalized Claude Code through CLAUDE.md, slash commands, lifecycle hooks, and validation routines to standardize code generation, memory persistence, formatting, testing, and review.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Built deterministic workflow governance with pre-tool and post-tool enforcement to block destructive actions, require staged approvals, and run quality checks after change operations.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Translated ambiguous operator requirements into structured intake briefs, PRDs, and execution specifications that AI systems could implement with less downstream ambiguity.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Designed multi-agent adversarial review workflows evaluating generated artifacts across security, architecture quality, implementation completeness, and performance risk before execution.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Built Memori — a cross-session memory engine with tiered retention, semantic recall, checkpoint restore, and per-skill learning — reducing context loss across long-running AI-assisted delivery.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Created agent-accessible tool surfaces spanning code, documentation, browser automation, research, deployment, and system state, reducing manual prompt injection and improving consistency.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Treated AI output as draft implementation requiring governed review: validation scripts, testing gates, and execution-stage controls assessed correctness, security, and reliability before shipping.</w:t>
      </w:r>
    </w:p>
    <w:p>
      <w:pPr>
        <w:spacing w:before="140" w:after="0"/>
      </w:pPr>
      <w:r>
        <w:rPr>
          <w:rFonts w:ascii="Palatino Linotype" w:hAnsi="Palatino Linotype"/>
          <w:b/>
          <w:i w:val="0"/>
          <w:smallCaps w:val="0"/>
          <w:sz w:val="21"/>
        </w:rPr>
        <w:t>Full Stack Developer Intern — Hiretalk.io</w:t>
      </w:r>
    </w:p>
    <w:p>
      <w:pPr>
        <w:spacing w:before="20" w:after="80"/>
      </w:pPr>
      <w:r>
        <w:rPr>
          <w:rFonts w:ascii="Courier New" w:hAnsi="Courier New"/>
          <w:b w:val="0"/>
          <w:i w:val="0"/>
          <w:smallCaps w:val="0"/>
          <w:color w:val="464646"/>
          <w:sz w:val="17"/>
        </w:rPr>
        <w:t>Hiretalk.io  ·  2023–Present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Built and maintained hiring-process platform features in React, Next.js, TypeScript, and Neo4j within a production-style team environment.</w:t>
      </w:r>
    </w:p>
    <w:p>
      <w:pPr>
        <w:spacing w:before="20" w:after="20" w:line="270" w:lineRule="exact"/>
        <w:ind w:left="317" w:hanging="245"/>
      </w:pPr>
      <w:r>
        <w:rPr>
          <w:rFonts w:ascii="Palatino Linotype" w:hAnsi="Palatino Linotype"/>
          <w:b w:val="0"/>
          <w:i w:val="0"/>
          <w:smallCaps w:val="0"/>
          <w:sz w:val="20"/>
        </w:rPr>
        <w:t>—  Contributed across application and AI-adjacent concerns, demonstrating end-to-end product engineering capability beyond the PT-2 case study.</w:t>
      </w:r>
    </w:p>
    <w:p>
      <w:pPr>
        <w:spacing w:before="260" w:after="80"/>
        <w:jc w:val="left"/>
        <w:pBdr>
          <w:bottom w:val="single" w:sz="4" w:space="1" w:color="000000"/>
        </w:pBdr>
      </w:pPr>
      <w:r>
        <w:rPr>
          <w:rFonts w:ascii="Courier New" w:hAnsi="Courier New"/>
          <w:b/>
          <w:i w:val="0"/>
          <w:smallCaps w:val="0"/>
          <w:color w:val="000000"/>
          <w:sz w:val="16"/>
        </w:rPr>
        <w:t xml:space="preserve">04.  </w:t>
      </w:r>
      <w:r>
        <w:rPr>
          <w:rFonts w:ascii="Palatino Linotype" w:hAnsi="Palatino Linotype"/>
          <w:b/>
          <w:i w:val="0"/>
          <w:smallCaps w:val="0"/>
          <w:color w:val="000000"/>
          <w:sz w:val="17"/>
          <w:spacing w:val="18"/>
        </w:rPr>
        <w:t>SELECTED AI-NATIVE SYSTEMS WORK</w:t>
      </w:r>
    </w:p>
    <w:p>
      <w:pPr>
        <w:spacing w:before="100" w:after="40" w:line="270" w:lineRule="exact"/>
      </w:pPr>
      <w:r>
        <w:rPr>
          <w:rFonts w:ascii="Palatino Linotype" w:hAnsi="Palatino Linotype"/>
          <w:b/>
          <w:i w:val="0"/>
          <w:smallCaps w:val="0"/>
          <w:sz w:val="20"/>
        </w:rPr>
        <w:t xml:space="preserve">AI-Native Delivery Architecture.  </w:t>
      </w:r>
      <w:r>
        <w:rPr>
          <w:rFonts w:ascii="Palatino Linotype" w:hAnsi="Palatino Linotype"/>
          <w:b w:val="0"/>
          <w:i w:val="0"/>
          <w:smallCaps w:val="0"/>
          <w:sz w:val="20"/>
        </w:rPr>
        <w:t>Designed a design-to-execution operating model in which structured artifacts, specialist skills, and phase gates governed how software moved from problem framing to implementation — replacing ad-hoc prompt sessions with a reproducible delivery pipeline.</w:t>
      </w:r>
    </w:p>
    <w:p>
      <w:pPr>
        <w:spacing w:before="100" w:after="40" w:line="270" w:lineRule="exact"/>
      </w:pPr>
      <w:r>
        <w:rPr>
          <w:rFonts w:ascii="Palatino Linotype" w:hAnsi="Palatino Linotype"/>
          <w:b/>
          <w:i w:val="0"/>
          <w:smallCaps w:val="0"/>
          <w:sz w:val="20"/>
        </w:rPr>
        <w:t xml:space="preserve">Memori Context Engine.  </w:t>
      </w:r>
      <w:r>
        <w:rPr>
          <w:rFonts w:ascii="Palatino Linotype" w:hAnsi="Palatino Linotype"/>
          <w:b w:val="0"/>
          <w:i w:val="0"/>
          <w:smallCaps w:val="0"/>
          <w:sz w:val="20"/>
        </w:rPr>
        <w:t>Built a persistent memory substrate for cross-session continuity, semantic recall, per-skill learning, and resumable work across long-running agent-assisted sessions with tiered retention and expiration logic that fails safely away from stale context.</w:t>
      </w:r>
    </w:p>
    <w:p>
      <w:pPr>
        <w:spacing w:before="100" w:after="40" w:line="270" w:lineRule="exact"/>
      </w:pPr>
      <w:r>
        <w:rPr>
          <w:rFonts w:ascii="Palatino Linotype" w:hAnsi="Palatino Linotype"/>
          <w:b/>
          <w:i w:val="0"/>
          <w:smallCaps w:val="0"/>
          <w:sz w:val="20"/>
        </w:rPr>
        <w:t xml:space="preserve">Governed Execution Workflow.  </w:t>
      </w:r>
      <w:r>
        <w:rPr>
          <w:rFonts w:ascii="Palatino Linotype" w:hAnsi="Palatino Linotype"/>
          <w:b w:val="0"/>
          <w:i w:val="0"/>
          <w:smallCaps w:val="0"/>
          <w:sz w:val="20"/>
        </w:rPr>
        <w:t>Used hooks, approval gates, prompt linting, and post-change quality routines to make AI-assisted software delivery more deterministic, auditable, and consistent across sessions.</w:t>
      </w:r>
    </w:p>
    <w:p>
      <w:pPr>
        <w:spacing w:before="260" w:after="80"/>
        <w:jc w:val="left"/>
        <w:pBdr>
          <w:bottom w:val="single" w:sz="4" w:space="1" w:color="000000"/>
        </w:pBdr>
      </w:pPr>
      <w:r>
        <w:rPr>
          <w:rFonts w:ascii="Courier New" w:hAnsi="Courier New"/>
          <w:b/>
          <w:i w:val="0"/>
          <w:smallCaps w:val="0"/>
          <w:color w:val="000000"/>
          <w:sz w:val="16"/>
        </w:rPr>
        <w:t xml:space="preserve">05.  </w:t>
      </w:r>
      <w:r>
        <w:rPr>
          <w:rFonts w:ascii="Palatino Linotype" w:hAnsi="Palatino Linotype"/>
          <w:b/>
          <w:i w:val="0"/>
          <w:smallCaps w:val="0"/>
          <w:color w:val="000000"/>
          <w:sz w:val="17"/>
          <w:spacing w:val="18"/>
        </w:rPr>
        <w:t>EDUCATION</w:t>
      </w:r>
    </w:p>
    <w:p>
      <w:pPr>
        <w:spacing w:before="80" w:after="20" w:line="260" w:lineRule="exact"/>
      </w:pPr>
      <w:r>
        <w:rPr>
          <w:rFonts w:ascii="Palatino Linotype" w:hAnsi="Palatino Linotype"/>
          <w:b w:val="0"/>
          <w:i w:val="0"/>
          <w:smallCaps w:val="0"/>
          <w:sz w:val="20"/>
        </w:rPr>
        <w:t xml:space="preserve">Bachelor of Applied Science in Software Development  ·  </w:t>
      </w:r>
      <w:r>
        <w:rPr>
          <w:rFonts w:ascii="Palatino Linotype" w:hAnsi="Palatino Linotype"/>
          <w:b w:val="0"/>
          <w:i/>
          <w:smallCaps w:val="0"/>
          <w:color w:val="464646"/>
          <w:sz w:val="20"/>
        </w:rPr>
        <w:t>Green River College</w:t>
      </w:r>
    </w:p>
    <w:p>
      <w:pPr>
        <w:spacing w:before="80" w:after="20" w:line="260" w:lineRule="exact"/>
      </w:pPr>
      <w:r>
        <w:rPr>
          <w:rFonts w:ascii="Palatino Linotype" w:hAnsi="Palatino Linotype"/>
          <w:b w:val="0"/>
          <w:i w:val="0"/>
          <w:smallCaps w:val="0"/>
          <w:sz w:val="20"/>
        </w:rPr>
        <w:t xml:space="preserve">AAS in Cyber Security and Networking  ·  </w:t>
      </w:r>
      <w:r>
        <w:rPr>
          <w:rFonts w:ascii="Palatino Linotype" w:hAnsi="Palatino Linotype"/>
          <w:b w:val="0"/>
          <w:i/>
          <w:smallCaps w:val="0"/>
          <w:color w:val="464646"/>
          <w:sz w:val="20"/>
        </w:rPr>
        <w:t>Green River College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