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/>
          <w:i w:val="0"/>
          <w:smallCaps w:val="0"/>
          <w:color w:val="1B3A6B"/>
          <w:sz w:val="44"/>
        </w:rPr>
        <w:t>Vladimir Ivanov</w:t>
      </w:r>
    </w:p>
    <w:p>
      <w:pPr>
        <w:spacing w:before="20" w:after="20"/>
      </w:pPr>
      <w:r>
        <w:rPr>
          <w:rFonts w:ascii="Calibri" w:hAnsi="Calibri"/>
          <w:b w:val="0"/>
          <w:i/>
          <w:smallCaps w:val="0"/>
          <w:color w:val="646464"/>
          <w:sz w:val="21"/>
        </w:rPr>
        <w:t>AI-Native Software Engineer</w:t>
      </w:r>
    </w:p>
    <w:p>
      <w:pPr>
        <w:spacing w:before="0" w:after="0"/>
        <w:pBdr>
          <w:bottom w:val="single" w:sz="12" w:space="1" w:color="1B3A6B"/>
        </w:pBdr>
      </w:pPr>
      <w:r>
        <w:rPr>
          <w:rFonts w:ascii="Calibri" w:hAnsi="Calibri"/>
          <w:b w:val="0"/>
          <w:i w:val="0"/>
          <w:smallCaps w:val="0"/>
          <w:color w:val="646464"/>
          <w:sz w:val="18"/>
        </w:rPr>
        <w:t>Seattle, WA   ·   email@example.com   ·   linkedin.com/in/your-link   ·   github.com/your-handle</w:t>
      </w:r>
    </w:p>
    <w:p>
      <w:pPr>
        <w:spacing w:before="240" w:after="100"/>
        <w:pBdr>
          <w:left w:val="single" w:sz="24" w:space="1" w:color="1B3A6B"/>
        </w:pBdr>
      </w:pPr>
      <w:r>
        <w:rPr>
          <w:rFonts w:ascii="Calibri" w:hAnsi="Calibri"/>
          <w:b/>
          <w:i w:val="0"/>
          <w:smallCaps w:val="0"/>
          <w:color w:val="1B3A6B"/>
          <w:sz w:val="18"/>
          <w:spacing w:val="24"/>
        </w:rPr>
        <w:t>PROFESSIONAL SUMMARY</w:t>
      </w:r>
    </w:p>
    <w:p>
      <w:pPr>
        <w:spacing w:before="40" w:after="0" w:line="270" w:lineRule="exact"/>
      </w:pPr>
      <w:r>
        <w:rPr>
          <w:rFonts w:ascii="Calibri" w:hAnsi="Calibri"/>
          <w:b w:val="0"/>
          <w:i w:val="0"/>
          <w:smallCaps w:val="0"/>
          <w:sz w:val="20"/>
        </w:rPr>
        <w:t>AI-native software engineer building full-stack applications through agent orchestration rather than manual linear coding. Designed a governed delivery system for PT-2 that turns operator requirements into structured execution specifications, routes work to specialized AI skills, persists cross-session context, and enforces quality through hooks, validation gates, adversarial review, and checkpoint-resumable workflows. Strong across agentic orchestration, Claude Code workflow engineering, structured prompting, and context reliability — with practical experience shipping AI-assisted systems against real operational constraints.</w:t>
      </w:r>
    </w:p>
    <w:p>
      <w:pPr>
        <w:spacing w:before="240" w:after="100"/>
        <w:pBdr>
          <w:left w:val="single" w:sz="24" w:space="1" w:color="1B3A6B"/>
        </w:pBdr>
      </w:pPr>
      <w:r>
        <w:rPr>
          <w:rFonts w:ascii="Calibri" w:hAnsi="Calibri"/>
          <w:b/>
          <w:i w:val="0"/>
          <w:smallCaps w:val="0"/>
          <w:color w:val="1B3A6B"/>
          <w:sz w:val="18"/>
          <w:spacing w:val="24"/>
        </w:rPr>
        <w:t>CORE COMPETENCIES</w:t>
      </w:r>
    </w:p>
    <w:p>
      <w:pPr>
        <w:spacing w:before="60" w:after="40" w:line="260" w:lineRule="exact"/>
      </w:pPr>
      <w:r>
        <w:rPr>
          <w:rFonts w:ascii="Calibri" w:hAnsi="Calibri"/>
          <w:b/>
          <w:i w:val="0"/>
          <w:smallCaps w:val="0"/>
          <w:color w:val="1B3A6B"/>
          <w:sz w:val="19"/>
        </w:rPr>
        <w:t xml:space="preserve">AI-native workflow    </w:t>
      </w:r>
      <w:r>
        <w:rPr>
          <w:rFonts w:ascii="Calibri" w:hAnsi="Calibri"/>
          <w:b w:val="0"/>
          <w:i w:val="0"/>
          <w:smallCaps w:val="0"/>
          <w:color w:val="141414"/>
          <w:sz w:val="19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60" w:lineRule="exact"/>
      </w:pPr>
      <w:r>
        <w:rPr>
          <w:rFonts w:ascii="Calibri" w:hAnsi="Calibri"/>
          <w:b/>
          <w:i w:val="0"/>
          <w:smallCaps w:val="0"/>
          <w:color w:val="1B3A6B"/>
          <w:sz w:val="19"/>
        </w:rPr>
        <w:t xml:space="preserve">Product engineering    </w:t>
      </w:r>
      <w:r>
        <w:rPr>
          <w:rFonts w:ascii="Calibri" w:hAnsi="Calibri"/>
          <w:b w:val="0"/>
          <w:i w:val="0"/>
          <w:smallCaps w:val="0"/>
          <w:color w:val="141414"/>
          <w:sz w:val="19"/>
        </w:rPr>
        <w:t>TypeScript  ·  Next.js  ·  React  ·  Supabase  ·  PostgreSQL  ·  RLS  ·  API design  ·  E2E testing  ·  governance-oriented CI/CD  ·  Vercel</w:t>
      </w:r>
    </w:p>
    <w:p>
      <w:pPr>
        <w:spacing w:before="240" w:after="100"/>
        <w:pBdr>
          <w:left w:val="single" w:sz="24" w:space="1" w:color="1B3A6B"/>
        </w:pBdr>
      </w:pPr>
      <w:r>
        <w:rPr>
          <w:rFonts w:ascii="Calibri" w:hAnsi="Calibri"/>
          <w:b/>
          <w:i w:val="0"/>
          <w:smallCaps w:val="0"/>
          <w:color w:val="1B3A6B"/>
          <w:sz w:val="18"/>
          <w:spacing w:val="24"/>
        </w:rPr>
        <w:t>EXPERIENCE</w:t>
      </w:r>
    </w:p>
    <w:p>
      <w:pPr>
        <w:spacing w:before="140" w:after="0"/>
      </w:pPr>
      <w:r>
        <w:rPr>
          <w:rFonts w:ascii="Calibri" w:hAnsi="Calibri"/>
          <w:b/>
          <w:i w:val="0"/>
          <w:smallCaps w:val="0"/>
          <w:color w:val="141414"/>
          <w:sz w:val="21"/>
        </w:rPr>
        <w:t>Lead Software Engineer — PT-2 Player Tracker</w:t>
      </w:r>
    </w:p>
    <w:p>
      <w:pPr>
        <w:spacing w:before="20" w:after="80"/>
      </w:pPr>
      <w:r>
        <w:rPr>
          <w:rFonts w:ascii="Calibri" w:hAnsi="Calibri"/>
          <w:b w:val="0"/>
          <w:i/>
          <w:smallCaps w:val="0"/>
          <w:color w:val="646464"/>
          <w:sz w:val="18"/>
        </w:rPr>
        <w:t>Independent / Product Build  ·  2025–Present  ·  Seattle, WA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Architected a two-pipeline AI-native SDLC separating feature design from execution, enabling requirements-to-build handoff through structured artifacts, phase gates, and resumable agent workflows.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Orchestrated specialized AI skills for architecture, backend services, API design, RLS, QA, performance, and E2E testing — delegating to bounded expert agents rather than a single generalist.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Operationalized Claude Code through CLAUDE.md, slash commands, lifecycle hooks, and validation routines to standardize code generation, memory persistence, formatting, testing, and review.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Built deterministic workflow governance with pre-tool and post-tool enforcement to block destructive actions, require staged approvals, and run quality checks after change operations.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Translated ambiguous operator requirements into structured intake briefs, PRDs, and execution specifications that AI systems could implement with less downstream ambiguity.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Designed multi-agent adversarial review workflows evaluating generated artifacts across security, architecture quality, implementation completeness, and performance risk before execution.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Built Memori — a cross-session memory engine with tiered retention, semantic recall, checkpoint restore, and per-skill learning — reducing context loss across long-running AI-assisted delivery.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Created agent-accessible tool surfaces spanning code, documentation, browser automation, research, deployment, and system state, reducing manual prompt injection and improving consistency.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Treated AI output as draft implementation requiring governed review: validation scripts, testing gates, and execution-stage controls assessed correctness, security, and reliability before shipping.</w:t>
      </w:r>
    </w:p>
    <w:p>
      <w:pPr>
        <w:spacing w:before="140" w:after="0"/>
      </w:pPr>
      <w:r>
        <w:rPr>
          <w:rFonts w:ascii="Calibri" w:hAnsi="Calibri"/>
          <w:b/>
          <w:i w:val="0"/>
          <w:smallCaps w:val="0"/>
          <w:color w:val="141414"/>
          <w:sz w:val="21"/>
        </w:rPr>
        <w:t>Full Stack Developer Intern — Hiretalk.io</w:t>
      </w:r>
    </w:p>
    <w:p>
      <w:pPr>
        <w:spacing w:before="20" w:after="80"/>
      </w:pPr>
      <w:r>
        <w:rPr>
          <w:rFonts w:ascii="Calibri" w:hAnsi="Calibri"/>
          <w:b w:val="0"/>
          <w:i/>
          <w:smallCaps w:val="0"/>
          <w:color w:val="646464"/>
          <w:sz w:val="18"/>
        </w:rPr>
        <w:t>Hiretalk.io  ·  2023–Present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Built and maintained hiring-process platform features in React, Next.js, TypeScript, and Neo4j within a production-style team environment.</w:t>
      </w:r>
    </w:p>
    <w:p>
      <w:pPr>
        <w:spacing w:before="20" w:after="20" w:line="270" w:lineRule="exact"/>
        <w:ind w:left="288" w:hanging="216"/>
      </w:pPr>
      <w:r>
        <w:rPr>
          <w:rFonts w:ascii="Calibri" w:hAnsi="Calibri"/>
          <w:b/>
          <w:i w:val="0"/>
          <w:smallCaps w:val="0"/>
          <w:color w:val="1B3A6B"/>
          <w:sz w:val="18"/>
        </w:rPr>
        <w:t xml:space="preserve">▸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Contributed across application and AI-adjacent concerns, demonstrating end-to-end product engineering capability beyond the PT-2 case study.</w:t>
      </w:r>
    </w:p>
    <w:p>
      <w:pPr>
        <w:spacing w:before="240" w:after="100"/>
        <w:pBdr>
          <w:left w:val="single" w:sz="24" w:space="1" w:color="1B3A6B"/>
        </w:pBdr>
      </w:pPr>
      <w:r>
        <w:rPr>
          <w:rFonts w:ascii="Calibri" w:hAnsi="Calibri"/>
          <w:b/>
          <w:i w:val="0"/>
          <w:smallCaps w:val="0"/>
          <w:color w:val="1B3A6B"/>
          <w:sz w:val="18"/>
          <w:spacing w:val="24"/>
        </w:rPr>
        <w:t>SELECTED AI-NATIVE SYSTEMS WORK</w:t>
      </w:r>
    </w:p>
    <w:p>
      <w:pPr>
        <w:spacing w:before="100" w:after="40" w:line="270" w:lineRule="exact"/>
      </w:pPr>
      <w:r>
        <w:rPr>
          <w:rFonts w:ascii="Calibri" w:hAnsi="Calibri"/>
          <w:b/>
          <w:i w:val="0"/>
          <w:smallCaps w:val="0"/>
          <w:color w:val="1B3A6B"/>
          <w:sz w:val="20"/>
        </w:rPr>
        <w:t xml:space="preserve">AI-Native Delivery Architecture.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Designed a design-to-execution operating model in which structured artifacts, specialist skills, and phase gates governed how software moved from problem framing to implementation — replacing ad-hoc prompt sessions with a reproducible delivery pipeline.</w:t>
      </w:r>
    </w:p>
    <w:p>
      <w:pPr>
        <w:spacing w:before="100" w:after="40" w:line="270" w:lineRule="exact"/>
      </w:pPr>
      <w:r>
        <w:rPr>
          <w:rFonts w:ascii="Calibri" w:hAnsi="Calibri"/>
          <w:b/>
          <w:i w:val="0"/>
          <w:smallCaps w:val="0"/>
          <w:color w:val="1B3A6B"/>
          <w:sz w:val="20"/>
        </w:rPr>
        <w:t xml:space="preserve">Memori Context Engine.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Built a persistent memory substrate for cross-session continuity, semantic recall, per-skill learning, and resumable work across long-running agent-assisted sessions with tiered retention and expiration logic that fails safely away from stale context.</w:t>
      </w:r>
    </w:p>
    <w:p>
      <w:pPr>
        <w:spacing w:before="100" w:after="40" w:line="270" w:lineRule="exact"/>
      </w:pPr>
      <w:r>
        <w:rPr>
          <w:rFonts w:ascii="Calibri" w:hAnsi="Calibri"/>
          <w:b/>
          <w:i w:val="0"/>
          <w:smallCaps w:val="0"/>
          <w:color w:val="1B3A6B"/>
          <w:sz w:val="20"/>
        </w:rPr>
        <w:t xml:space="preserve">Governed Execution Workflow.  </w:t>
      </w:r>
      <w:r>
        <w:rPr>
          <w:rFonts w:ascii="Calibri" w:hAnsi="Calibri"/>
          <w:b w:val="0"/>
          <w:i w:val="0"/>
          <w:smallCaps w:val="0"/>
          <w:color w:val="141414"/>
          <w:sz w:val="20"/>
        </w:rPr>
        <w:t>Used hooks, approval gates, prompt linting, and post-change quality routines to make AI-assisted software delivery more deterministic, auditable, and consistent across sessions.</w:t>
      </w:r>
    </w:p>
    <w:p>
      <w:pPr>
        <w:spacing w:before="240" w:after="100"/>
        <w:pBdr>
          <w:left w:val="single" w:sz="24" w:space="1" w:color="1B3A6B"/>
        </w:pBdr>
      </w:pPr>
      <w:r>
        <w:rPr>
          <w:rFonts w:ascii="Calibri" w:hAnsi="Calibri"/>
          <w:b/>
          <w:i w:val="0"/>
          <w:smallCaps w:val="0"/>
          <w:color w:val="1B3A6B"/>
          <w:sz w:val="18"/>
          <w:spacing w:val="24"/>
        </w:rPr>
        <w:t>EDUCATION</w:t>
      </w:r>
    </w:p>
    <w:p>
      <w:pPr>
        <w:spacing w:before="80" w:after="20" w:line="260" w:lineRule="exact"/>
      </w:pPr>
      <w:r>
        <w:rPr>
          <w:rFonts w:ascii="Calibri" w:hAnsi="Calibri"/>
          <w:b w:val="0"/>
          <w:i w:val="0"/>
          <w:smallCaps w:val="0"/>
          <w:color w:val="141414"/>
          <w:sz w:val="20"/>
        </w:rPr>
        <w:t xml:space="preserve">Bachelor of Applied Science in Software Development  ·  </w:t>
      </w:r>
      <w:r>
        <w:rPr>
          <w:rFonts w:ascii="Calibri" w:hAnsi="Calibri"/>
          <w:b w:val="0"/>
          <w:i/>
          <w:smallCaps w:val="0"/>
          <w:color w:val="646464"/>
          <w:sz w:val="20"/>
        </w:rPr>
        <w:t>Green River College</w:t>
      </w:r>
    </w:p>
    <w:p>
      <w:pPr>
        <w:spacing w:before="80" w:after="20" w:line="260" w:lineRule="exact"/>
      </w:pPr>
      <w:r>
        <w:rPr>
          <w:rFonts w:ascii="Calibri" w:hAnsi="Calibri"/>
          <w:b w:val="0"/>
          <w:i w:val="0"/>
          <w:smallCaps w:val="0"/>
          <w:color w:val="141414"/>
          <w:sz w:val="20"/>
        </w:rPr>
        <w:t xml:space="preserve">AAS in Cyber Security and Networking  ·  </w:t>
      </w:r>
      <w:r>
        <w:rPr>
          <w:rFonts w:ascii="Calibri" w:hAnsi="Calibri"/>
          <w:b w:val="0"/>
          <w:i/>
          <w:smallCaps w:val="0"/>
          <w:color w:val="646464"/>
          <w:sz w:val="20"/>
        </w:rPr>
        <w:t>Green River College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