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44577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SCHOOL OF COMPUTER ENGINEERING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Information Technology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Sustainability Org: A GenAI-Powered Signal Detection and Recommendation Engine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Biweekly Report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Submitted by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VANSH VERMA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220911622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Under the guidance of</w:t>
      </w:r>
    </w:p>
    <w:p>
      <w:pPr>
        <w:spacing w:after="1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Dr. Sandhya Dubey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Assistant Professor, Department of ICT — Internal Guide</w:t>
      </w:r>
    </w:p>
    <w:p>
      <w:pPr>
        <w:spacing w:after="1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Ms. Nancy Miglani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Coordinator (HR), Bain Capability Network — External Guide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SCHOOL OF COMPUTER ENGINEERING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Manipal Institute of Technology, Manipal — 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ABSTRACT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Sustainability Org is a GenAI-powered decision-intelligence engine, developed during an internship at Bain Capability Network, that converts unstructured sustainability and company evidence into ranked, explainable recommendations. It combines a modular, YAML-configurable LLM classification framework, a hybrid retrieval layer (BM25 + dense vector search over Chroma + cross-encoder reranking), reasoning-based signal validation with an agentic web-search component, and a registry-scoped orchestration layer that enforces a mandatory human-in-the-loop review gate. Validated signals are mapped to solutions and scored by a static-weightage engine to produce ranked, source-traceable recommendations. On a representative private-equity run (CVC Capital, benchmarked against Blackstone, KKR and EQT), classification reached a mean macro-F1 of about 91% and hybrid-plus-reranking retrieval improved nDCG@10 from 0.61 to 0.81. The system was built in Python using OpenAI LLM/embedding APIs, openai-agents, Chroma, Dask, rank-bm25, and sentence-transformer cross-encoders.</w:t>
      </w:r>
    </w:p>
    <w:p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 a scalable ingestion and normalization pipeline for heterogeneous sources (news APIs, PDF reports, company websites, internal documents).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 a modular, YAML-configurable LLM classification framework covering multiple independent dimensions.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a hybrid retrieval layer combining BM25 lexical search, dense vector search over Chroma, and cross-encoder reranking.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 a reasoning-driven signal-detection framework that validates candidate signals against retrieved evidence, augmented by agentic web search.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Enforce a human-in-the-loop review gate before expensive downstream processing.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Map validated signals to solutions and produce weighted, ranked, source-traceable recommendations.</w:t>
      </w:r>
    </w:p>
    <w:p>
      <w:r>
        <w:br w:type="pag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Project Details</w:t>
      </w:r>
    </w:p>
    <w:tbl>
      <w:tblPr>
        <w:tblW w:type="dxa" w:w="9740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single" w:color="C0C0C0" w:sz="4"/>
          <w:insideV w:val="single" w:color="C0C0C0" w:sz="4"/>
        </w:tblBorders>
      </w:tblPr>
      <w:tblGrid>
        <w:gridCol w:w="2500"/>
        <w:gridCol w:w="2600"/>
        <w:gridCol w:w="2140"/>
        <w:gridCol w:w="2500"/>
      </w:tblGrid>
      <w:tr>
        <w:tc>
          <w:tcPr>
            <w:tcW w:type="dxa" w:w="9740"/>
            <w:gridSpan w:val="4"/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Student Details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Vansh Verma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Register Number</w:t>
            </w:r>
          </w:p>
        </w:tc>
        <w:tc>
          <w:tcPr>
            <w:tcW w:type="dxa" w:w="26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220911622</w:t>
            </w:r>
          </w:p>
        </w:tc>
        <w:tc>
          <w:tcPr>
            <w:tcW w:type="dxa" w:w="214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Section / Roll No</w:t>
            </w:r>
          </w:p>
        </w:tc>
        <w:tc>
          <w:tcPr>
            <w:tcW w:type="dxa" w:w="25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6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 No (M)</w:t>
            </w:r>
          </w:p>
        </w:tc>
        <w:tc>
          <w:tcPr>
            <w:tcW w:type="dxa" w:w="25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740"/>
            <w:gridSpan w:val="4"/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Project Details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Sustainability Org: A GenAI-Powered Signal Detection and Recommendation Engine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26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 Jan 2026 – 03 Jul 2026</w:t>
            </w:r>
          </w:p>
        </w:tc>
        <w:tc>
          <w:tcPr>
            <w:tcW w:type="dxa" w:w="214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Start Date</w:t>
            </w:r>
          </w:p>
        </w:tc>
        <w:tc>
          <w:tcPr>
            <w:tcW w:type="dxa" w:w="25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 Jan 2026</w:t>
            </w:r>
          </w:p>
        </w:tc>
      </w:tr>
      <w:tr>
        <w:tc>
          <w:tcPr>
            <w:tcW w:type="dxa" w:w="9740"/>
            <w:gridSpan w:val="4"/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Organization Details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Organization Name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Bain Capability Network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postal address with pin code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Bain Capability Network, Gurgaon, Haryana – 122 002, India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Website address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www.bain.com</w:t>
            </w:r>
          </w:p>
        </w:tc>
      </w:tr>
      <w:tr>
        <w:tc>
          <w:tcPr>
            <w:tcW w:type="dxa" w:w="9740"/>
            <w:gridSpan w:val="4"/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Supervisor Details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Supervisor Name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Ms. Nancy Miglani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Designation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Coordinator, HR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contact address with pin code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Bain Capability Network, Gurgaon, Haryana – 122 002, India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6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4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Phone No (M)</w:t>
            </w:r>
          </w:p>
        </w:tc>
        <w:tc>
          <w:tcPr>
            <w:tcW w:type="dxa" w:w="2500"/>
            <w:gridSpan w:val="1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740"/>
            <w:gridSpan w:val="4"/>
            <w:shd w:fill="EEEEEE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Internal Guide Details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Dr. Sandhya Dubey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Full contact address with pin code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of Computer Engineering, Manipal Institute of Technology, Manipal – 576 104 (Karnataka), India</w:t>
            </w:r>
          </w:p>
        </w:tc>
      </w:tr>
      <w:tr>
        <w:tc>
          <w:tcPr>
            <w:tcW w:type="dxa" w:w="2500"/>
            <w:gridSpan w:val="1"/>
            <w:shd w:fill="F7F7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7240"/>
            <w:gridSpan w:val="3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sandhya.dubey@manipal.edu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1 – 2  (05 – 16 January 2026)  ·  Training &amp; Onboarding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HR induction and onboarding; NDA and code-of-conduct; workstation and IT setup.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08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Introduction to the sustainability-analytics practice, team structure, and internship objectives.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Technical training — Python for data workflows, Git, and virtual environments.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Hands-on with pandas and Dask; internal coding standards and repository practices.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Completed organizational onboarding and training on the team's engineering toolchain (Python, Git, pandas, Dask).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Obtaining access to internal systems and adapting to organizational workflows.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Internal onboarding material; Python, pandas and Dask documentation.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3 – 4  (19 – 30 January 2026)  ·  Training &amp; Problem Study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GenAI foundations — large language models, prompt design, and the OpenAI API.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RAG, embeddings, and vector databases (Chroma); guided hands-on exercises.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Sustainability &amp; ESG fundamentals; overview of data sources (Feedly, LSEG).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 Jan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Shadowed analysts on live workflows; initial problem study for the project.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Completed GenAI and domain training; understood the business context and identified the problem to be solved.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Grasping ESG-domain nuances and mapping them to a technical problem statement.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Lewis et al. (RAG); introductory ESG and sustainability-reporting material.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5 – 6  (02 – 13 February 2026)  ·  Scoping &amp; Ingestion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Requirement study; defined objectives, target specifications, and high-level architecture.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Literature survey on RAG, hybrid retrieval, and LLM classification.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Built data-ingestion connectors for the news API and PDF/ESG reports.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parsing and OCR; designed the normalization schema.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Finalized the project scope and architecture and built the data-ingestion connectors.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Handling heterogeneous source formats and inconsistent metadata.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Robertson &amp; Zaragoza (BM25); Lewis et al. (RAG).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7 – 8  (16 – 27 February 2026)  ·  Chunking &amp; Knowledge Base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Developed the text chunking and cleaning pipeline; added unit tests.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Produced a unified representation with consistent identifiers and metadata.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 up the Chroma vector store and embedding generation.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 Feb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knowledge-base ingestion (insert-only by chunk_id, skipping duplicates).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Completed the chunking pipeline and the Chroma-backed knowledge-base ingestion.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Ensuring idempotent ingestion and correct de-duplication by chunk_id.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Chroma documentation; embeddings reference.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9 – 10  (02 – 13 March 2026)  ·  Modular Classification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Designed the modular LLM classification framework with YAML-driven prompts.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the sustainability-mention stage with structured JSON output.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client-mention, internal/external, and sustainability-topic stages.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Added confidence scoring for each classification label.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Built the modular classification stages with confidence scoring.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Designing robust prompts that reliably return well-formed JSON.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Brown et al. (few-shot learning); OpenAI API documentation.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11 – 12  (16 – 27 March 2026)  ·  Classification Scale-up &amp; Evaluation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author-archetype, sentiment, and chunk-relevance stages.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Enabled Dask-based parallel batch execution over partitions.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Evaluated classification performance (per-stage macro-F1).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Refined prompts and tuned the sustainability-topic taxonomy.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Completed all classification stages and evaluated performance (mean macro-F1 ≈ 91%).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Label overlap in the fine-grained sustainability-topic stage.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Manning et al. (IR evaluation metrics).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13 – 14  (30 March – 10 April 2026)  ·  Hybrid Retrieval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 Mar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BM25 lexical retrieval and dense vector search.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 baseline retrieval experiments over judged query–chunk pairs.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hybrid retrieval via Reciprocal Rank Fusion (RRF).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Added cross-encoder reranking; measured nDCG@10, Recall@10, MRR.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Built the hybrid retrieval layer; nDCG@10 improved from 0.61 to 0.81 with reranking.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Tuning fusion parameters and controlling cross-encoder latency.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Karpukhin et al. (DPR); Nogueira &amp; Cho (reranking); Cormack et al. (RRF).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15 – 16  (13 – 24 April 2026)  ·  Mid-term Review &amp; Web Search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Prepared the mid-term review report and presentation.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Delivered the mid-term presentation to the guides; recorded feedback.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Developed the agentic web-search engine using openai-agents.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Added source/URL/date normalization and structured Excel export.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Delivered the mid-term review and built the agentic web-retrieval engine.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Handling unreliable web sources and API rate limits.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openai-agents documentation; mid-term feedback notes.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17 – 18  (27 April – 08 May 2026)  ·  Retrieval Tuning &amp; Registries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Performed a retrieval ablation study (BM25 vs vector vs hybrid vs +rerank).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Apr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Finalized the retrieval configuration.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Designed the signal and solution registries; RegistryContext and StageScope.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the pre-check stage.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Finalized retrieval and built the registry-scoped orchestration foundation.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Modelling scoped run semantics (active scope vs. full registry) cleanly.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Internal design notes; experiment logs.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19 – 20  (11 – 22 May 2026)  ·  Human Review &amp; Orchestration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the human-in-the-loop review gate (human_check workbook).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exclusion computation via sub-solution mapping.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trigger evaluation and web-retrieval orchestration.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Enforced strictly sequential run order; added retry and failure logging.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Implemented the human-in-the-loop review gate and the sequential orchestration layer.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Ensuring safe resume of the pipeline after the manual review pause.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Internal orchestration design notes.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21 – 22  (25 May – 05 June 2026)  ·  Signal Validation &amp; Recommendations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Integrated chunk retrieval into the orchestration.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 May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signal validation via LLM reasoning; emitted explanations and sources.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Built the recommendation engine — solution mapping.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Implemented static-weightage scoring and ranked recommendations.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Completed reasoning-based signal validation and the ranked-recommendation engine.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Calibrating static weights to produce sensible rankings.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Internal scoring specification.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23 – 24  (08 – 19 June 2026)  ·  Summaries &amp; Evaluation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Generated signal-level and sub-solution summaries.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 the full end-to-end pipeline on the CVC Capital scope.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Evaluated the system — accuracy, retrieval, signal funnel, and latency.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Fixed defects and improved robustness.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Ran the full pipeline end-to-end (7 of 15 signals validated) and completed the system evaluation.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Reducing the dominant web-retrieval latency.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Evaluation results and run manifests.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Week No. 25 – 26  (22 June – 03 July 2026)  ·  Documentation &amp; Wrap-up</w:t>
      </w:r>
    </w:p>
    <w:tbl>
      <w:tblPr>
        <w:tblW w:type="dxa" w:w="97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"/>
        <w:gridCol w:w="1520"/>
        <w:gridCol w:w="5460"/>
        <w:gridCol w:w="2040"/>
      </w:tblGrid>
      <w:tr>
        <w:trPr>
          <w:tblHeader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Sl. No.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Details of work carried out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Prepared documentation and drafted the final report.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Assembled results, figures, and screenshots of the working system.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Jun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 review with the company mentor; project handover and knowledge transfer.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7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2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02 Jul 2026</w:t>
            </w:r>
          </w:p>
        </w:tc>
        <w:tc>
          <w:tcPr>
            <w:tcW w:type="dxa" w:w="546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Final-presentation preparation and internship wrap-up.</w:t>
            </w:r>
          </w:p>
        </w:tc>
        <w:tc>
          <w:tcPr>
            <w:tcW w:type="dxa" w:w="2040"/>
            <w:gridSpan w:val="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Summary of the work done in the week: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Completed documentation, the final report, and a smooth project handover.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Challenges faced during the work: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Consolidating six months of work into a coherent report and presentation.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Final project report and presentation.</w:t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Remarks: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740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Suggestions by the guide: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Student</w:t>
            </w:r>
          </w:p>
        </w:tc>
        <w:tc>
          <w:tcPr>
            <w:tcW w:type="dxa" w:w="4870"/>
            <w:gridSpan w:val="2"/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 of the Guide</w:t>
            </w:r>
          </w:p>
        </w:tc>
      </w:tr>
    </w:tbl>
    <w:p>
      <w:r>
        <w:br w:type="page"/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5ef0fd6e1db062a5d0d80c987e6f47bb822d7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Sustainability Org — Biweekly Report (Student Project Diary)</dc:title>
  <dc:creator>Vansh Verma</dc:creator>
  <cp:lastModifiedBy>Un-named</cp:lastModifiedBy>
  <cp:revision>1</cp:revision>
  <dcterms:created xsi:type="dcterms:W3CDTF">2026-07-19T16:10:26.282Z</dcterms:created>
  <dcterms:modified xsi:type="dcterms:W3CDTF">2026-07-19T16:10:26.283Z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