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hd w:fill="F0F2F5" w:val="clear"/>
        <w:spacing w:after="120"/>
        <w:jc w:val="left"/>
      </w:pPr>
      <w:r>
        <w:rPr>
          <w:rFonts w:ascii="Calibri" w:cs="Calibri" w:eastAsia="Calibri" w:hAnsi="Calibri"/>
          <w:b/>
          <w:bCs/>
          <w:color w:val="355071"/>
          <w:spacing w:val="60"/>
          <w:sz w:val="56"/>
          <w:szCs w:val="56"/>
        </w:rPr>
        <w:t xml:space="preserve">ACADEMIC INTEGRITY 2.0</w:t>
      </w:r>
    </w:p>
    <w:p>
      <w:pPr>
        <w:spacing w:after="480"/>
        <w:jc w:val="left"/>
      </w:pPr>
      <w:r>
        <w:rPr>
          <w:rFonts w:ascii="Calibri" w:cs="Calibri" w:eastAsia="Calibri" w:hAnsi="Calibri"/>
          <w:b/>
          <w:bCs/>
          <w:color w:val="5D7291"/>
          <w:spacing w:val="50"/>
          <w:sz w:val="32"/>
          <w:szCs w:val="32"/>
        </w:rPr>
        <w:t xml:space="preserve">THE GHOSTWRITER OF NYENRODE CASTLE</w:t>
      </w:r>
    </w:p>
    <w:p>
      <w:pPr>
        <w:spacing w:after="160"/>
        <w:jc w:val="both"/>
      </w:pPr>
      <w:r>
        <w:rPr>
          <w:rFonts w:ascii="Calibri" w:cs="Calibri" w:eastAsia="Calibri" w:hAnsi="Calibri"/>
          <w:color w:val="1A1A1A"/>
          <w:sz w:val="24"/>
          <w:szCs w:val="24"/>
        </w:rPr>
        <w:t xml:space="preserve">Course design document for a reimagined blended course that merges Academic Integrity (the Escaperoom) and Cursus Toetsing en Examinering into one narrative learning experience with an AI-literacy spine.</w:t>
      </w:r>
    </w:p>
    <w:p>
      <w:pPr>
        <w:spacing w:after="0" w:before="3600"/>
      </w:pPr>
    </w:p>
    <w:p>
      <w:r>
        <w:rPr>
          <w:rFonts w:ascii="Calibri" w:cs="Calibri" w:eastAsia="Calibri" w:hAnsi="Calibri"/>
          <w:b/>
          <w:bCs/>
          <w:color w:val="355071"/>
          <w:sz w:val="22"/>
          <w:szCs w:val="22"/>
        </w:rPr>
        <w:t xml:space="preserve">Dieter Vlaminck  |  Teaching &amp; Learning Centre</w:t>
      </w:r>
    </w:p>
    <w:p>
      <w:r>
        <w:rPr>
          <w:rFonts w:ascii="Calibri" w:cs="Calibri" w:eastAsia="Calibri" w:hAnsi="Calibri"/>
          <w:color w:val="5D7291"/>
          <w:sz w:val="20"/>
          <w:szCs w:val="20"/>
        </w:rPr>
        <w:t xml:space="preserve">Version 0.9 (draft for discussion)  |  July 2026</w:t>
      </w:r>
    </w:p>
    <w:p>
      <w:pPr>
        <w:pBdr>
          <w:bottom w:val="single" w:color="5D7291" w:sz="12" w:space="1"/>
        </w:pBdr>
        <w:spacing w:before="1200"/>
      </w:pPr>
    </w:p>
    <w:p>
      <w:pPr>
        <w:spacing w:before="120"/>
        <w:jc w:val="center"/>
      </w:pPr>
      <w:r>
        <w:rPr>
          <w:rFonts w:ascii="Calibri" w:cs="Calibri" w:eastAsia="Calibri" w:hAnsi="Calibri"/>
          <w:b/>
          <w:bCs/>
          <w:color w:val="355071"/>
          <w:spacing w:val="40"/>
          <w:sz w:val="20"/>
          <w:szCs w:val="20"/>
        </w:rPr>
        <w:t xml:space="preserve">NYENRODE. A REWARD FOR LIFE</w:t>
      </w:r>
    </w:p>
    <w:p>
      <w:pPr>
        <w:sectPr>
          <w:pgSz w:w="11906" w:h="16838" w:orient="portrait"/>
          <w:pgMar w:top="1440" w:right="1440" w:bottom="1440" w:left="1440"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WHY REIMAGINE THIS COURSE</w:t>
      </w:r>
    </w:p>
    <w:p>
      <w:pPr>
        <w:spacing w:after="160"/>
        <w:jc w:val="both"/>
      </w:pPr>
      <w:r>
        <w:rPr>
          <w:rFonts w:ascii="Calibri" w:cs="Calibri" w:eastAsia="Calibri" w:hAnsi="Calibri"/>
          <w:color w:val="1A1A1A"/>
          <w:sz w:val="22"/>
          <w:szCs w:val="22"/>
        </w:rPr>
        <w:t xml:space="preserve">The current Academic Integrity workshop is one of the strongest pieces of course design in the Nyenrode Canvas environment. It abandoned the compliance-lecture format for a narrative escape room in Nyenrode Castle: four locked pieces of furniture, codes earned through puzzles, a chatbot confrontation with a fraudulent student, and a wall of fame that doubles as the completion register. Participation numbers and the discussion boards (over a hundred contributions per thread) show that the form works.</w:t>
      </w:r>
    </w:p>
    <w:p>
      <w:pPr>
        <w:spacing w:after="160"/>
        <w:jc w:val="both"/>
      </w:pPr>
      <w:r>
        <w:rPr>
          <w:rFonts w:ascii="Calibri" w:cs="Calibri" w:eastAsia="Calibri" w:hAnsi="Calibri"/>
          <w:color w:val="1A1A1A"/>
          <w:sz w:val="22"/>
          <w:szCs w:val="22"/>
        </w:rPr>
        <w:t xml:space="preserve">The world around the room has changed faster than the room itself. The course already gestures at generative AI: Plesman's notebook asks how we know what is real, and the pile of paperwork asks participants to spot an AI-written paper. But it treats AI as a suspicious object on the desk. In 2026 the more accurate picture is that AI sits inside the writing, reading and assessing practices of everyone in the building. Faculty do not primarily need to detect a machine; they need to understand one.</w:t>
      </w:r>
    </w:p>
    <w:p>
      <w:pPr>
        <w:spacing w:after="160"/>
        <w:jc w:val="both"/>
      </w:pPr>
      <w:r>
        <w:rPr>
          <w:rFonts w:ascii="Calibri" w:cs="Calibri" w:eastAsia="Calibri" w:hAnsi="Calibri"/>
          <w:color w:val="1A1A1A"/>
          <w:sz w:val="22"/>
          <w:szCs w:val="22"/>
        </w:rPr>
        <w:t xml:space="preserve">At the same time, Cursus Toetsing en Examinering teaches assessment theory (constructive alignment, the toetspiramide, quality criteria, rubrics, the toetsmatrijs) in a conventional page-and-quiz format, to largely the same audience. Assessment design is precisely where the integrity question now lives: generative AI has not broken assessment, it has exposed assessment that was already weak. Keeping the two courses apart means teaching the lock and the key in separate buildings.</w:t>
      </w:r>
    </w:p>
    <w:p>
      <w:pPr>
        <w:spacing w:after="160"/>
        <w:jc w:val="both"/>
      </w:pPr>
      <w:r>
        <w:rPr>
          <w:rFonts w:ascii="Calibri" w:cs="Calibri" w:eastAsia="Calibri" w:hAnsi="Calibri"/>
          <w:color w:val="1A1A1A"/>
          <w:sz w:val="22"/>
          <w:szCs w:val="22"/>
        </w:rPr>
        <w:t xml:space="preserve">The proposal is therefore one merged course with one story: understand the machine, see through its words, and design assessment your own judgement can stand behind. Working title: Academic Integrity 2.0, The Ghostwriter of Nyenrode Castle.</w:t>
      </w:r>
    </w:p>
    <w:p>
      <w:pPr>
        <w:pStyle w:val="Heading1"/>
        <w:spacing w:after="200" w:before="360"/>
      </w:pPr>
      <w:r>
        <w:t xml:space="preserve">2. WHAT THE CURRENT COURSES DO WELL</w:t>
      </w:r>
    </w:p>
    <w:p>
      <w:pPr>
        <w:spacing w:after="160"/>
        <w:jc w:val="both"/>
      </w:pPr>
      <w:r>
        <w:rPr>
          <w:rFonts w:ascii="Calibri" w:cs="Calibri" w:eastAsia="Calibri" w:hAnsi="Calibri"/>
          <w:color w:val="1A1A1A"/>
          <w:sz w:val="22"/>
          <w:szCs w:val="22"/>
        </w:rPr>
        <w:t xml:space="preserve">A full walkthrough of both Canvas courses (completed as a participant, July 2026) yields an inventory worth preserving. The escape room's mechanics are its pedagogy: sequentially locked modules create narrative pull; contribute-gated discussions guarantee active participation before progression; zero-point quizzes with access codes turn assessment machinery into game locks; and letter-shaped keys foreshadow later codes. The external activities (Interacty crossword and riddle match, Wordwall anagram and airplane game, the GPT-trainer chatbot Memphis) are cheap, replaceable and effective.</w:t>
      </w:r>
    </w:p>
    <w:p>
      <w:pPr>
        <w:spacing w:after="160"/>
        <w:jc w:val="both"/>
      </w:pPr>
      <w:r>
        <w:rPr>
          <w:rFonts w:ascii="Calibri" w:cs="Calibri" w:eastAsia="Calibri" w:hAnsi="Calibri"/>
          <w:color w:val="1A1A1A"/>
          <w:sz w:val="22"/>
          <w:szCs w:val="22"/>
        </w:rPr>
        <w:t xml:space="preserve">The Toetsing course contributes a complete, well-written theory library in Dutch: constructive alignment, Dublin descriptors, Bloom and Krathwohl, toetsmatrijs, toetscyclus, the four quality criteria and rubrics, plus the policy PDFs (Assessment Policy, rubric and MC-question guidelines). Its conventions (graded module quizzes with a minimum score of 8 out of 10, self-evaluations at start and end, forum questions per module) transfer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36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Current location</w:t>
            </w:r>
          </w:p>
        </w:tc>
        <w:tc>
          <w:tcPr>
            <w:tcW w:type="dxa" w:w="3026"/>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Fate in the new design</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Escape-room narrative and code gates</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Escaperoom, modules 1–4</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Retained and extended to five rooms</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Definition discussion (red book)</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Escaperoom, module 1</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Retained, sharpened with an AI angle</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Real-vs-fake papers exercise</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Escaperoom, module 2</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Retained, extended with source verification</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Memphis confrontation chatbot</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Escaperoom, module 3</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Retained (v2: rebuild in-tenant)</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Assessment theory pages (NL)</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Toetsing, modules 1–3</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Reused inside the new Room 4</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Graded quiz convention (min. 8/10)</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Toetsing, all modules</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Adopted for the new Machine Room quiz</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How LLMs work</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Nowhere (only in live slides)</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New Room 2, the Machine Room</w:t>
            </w:r>
          </w:p>
        </w:tc>
      </w:tr>
      <w:tr>
        <w:tc>
          <w:tcPr>
            <w:tcW w:type="dxa" w:w="24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AI policy and GenAI research guidelines</w:t>
            </w:r>
          </w:p>
        </w:tc>
        <w:tc>
          <w:tcPr>
            <w:tcW w:type="dxa" w:w="3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Nyenrode website only</w:t>
            </w:r>
          </w:p>
        </w:tc>
        <w:tc>
          <w:tcPr>
            <w:tcW w:type="dxa" w:w="30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Policy shelf in Room 1</w:t>
            </w:r>
          </w:p>
        </w:tc>
      </w:tr>
    </w:tbl>
    <w:p>
      <w:pPr>
        <w:spacing w:after="120"/>
      </w:pPr>
    </w:p>
    <w:p>
      <w:pPr>
        <w:pStyle w:val="Heading1"/>
        <w:spacing w:after="200" w:before="360"/>
      </w:pPr>
      <w:r>
        <w:t xml:space="preserve">3. DESIGN FOUNDATIONS</w:t>
      </w:r>
    </w:p>
    <w:p>
      <w:pPr>
        <w:spacing w:after="160"/>
        <w:jc w:val="both"/>
      </w:pPr>
      <w:r>
        <w:rPr>
          <w:rFonts w:ascii="Calibri" w:cs="Calibri" w:eastAsia="Calibri" w:hAnsi="Calibri"/>
          <w:color w:val="1A1A1A"/>
          <w:sz w:val="22"/>
          <w:szCs w:val="22"/>
        </w:rPr>
        <w:t xml:space="preserve">The design follows the TLC Ground Design Principles for Interactive Learning. Three commitments do the heavy lifting. First, constructive alignment: every room names a verb-led outcome, an activity in which that exact performance is practised, and a check of that performance; the puzzle gates are aligned checks in disguise. Second, the blended division of labour: first exposure, retrieval practice and reflection happen asynchronously in Canvas, while an optional synchronous session (below, section 10) reserves face-to-face time for the discussion techniques and cases that need presence. Third, Community of Inquiry: the discussion gates supply social presence, the narrative sustains cognitive presence, and the visible course team (and the Memphis debrief) carry teaching presence.</w:t>
      </w:r>
    </w:p>
    <w:p>
      <w:pPr>
        <w:spacing w:after="160"/>
        <w:jc w:val="both"/>
      </w:pPr>
      <w:r>
        <w:rPr>
          <w:rFonts w:ascii="Calibri" w:cs="Calibri" w:eastAsia="Calibri" w:hAnsi="Calibri"/>
          <w:color w:val="1A1A1A"/>
          <w:sz w:val="22"/>
          <w:szCs w:val="22"/>
        </w:rPr>
        <w:t xml:space="preserve">The AI guardrails from the same document are treated as constraints, not aspirations: a human stays in the loop for every consequential judgement; student and participant data stay inside the tenant; every AI element announces itself as AI; every bot is scoped so that it cannot produce the artefact the activity exists to make the learner produce; and each AI element has an equivalent path for participants with less access or fluency.</w:t>
      </w:r>
    </w:p>
    <w:p>
      <w:pPr>
        <w:pStyle w:val="Heading1"/>
        <w:spacing w:after="200" w:before="360"/>
      </w:pPr>
      <w:r>
        <w:t xml:space="preserve">4. THE CONCEPT: ONE ROOM, ONE MACHINE, FIVE GATES</w:t>
      </w:r>
    </w:p>
    <w:p>
      <w:pPr>
        <w:spacing w:after="160"/>
        <w:jc w:val="both"/>
      </w:pPr>
      <w:r>
        <w:rPr>
          <w:rFonts w:ascii="Calibri" w:cs="Calibri" w:eastAsia="Calibri" w:hAnsi="Calibri"/>
          <w:color w:val="1A1A1A"/>
          <w:sz w:val="22"/>
          <w:szCs w:val="22"/>
        </w:rPr>
        <w:t xml:space="preserve">You wake once more in the familiar room in Nyenrode Castle. The furniture is unchanged, but a machine now hums on Plesman's desk, and the floor is littered with flawless pages nobody admits to writing. The castle calls it the Ghostwriter. A letter under the door states the terms of release: understand the machine, see through its words, and prove your judgement is still worth more. The door will open for the one word the machine cannot generate on your behalf: integrity, kept when nobody is checking.</w:t>
      </w:r>
    </w:p>
    <w:p>
      <w:pPr>
        <w:spacing w:after="160"/>
        <w:jc w:val="both"/>
      </w:pPr>
      <w:r>
        <w:rPr>
          <w:rFonts w:ascii="Calibri" w:cs="Calibri" w:eastAsia="Calibri" w:hAnsi="Calibri"/>
          <w:color w:val="1A1A1A"/>
          <w:sz w:val="22"/>
          <w:szCs w:val="22"/>
        </w:rPr>
        <w:t xml:space="preserve">The metaphor is doing theoretical work, not decoration. The Ghostwriter is fluent and tireless and has no idea what is true; it produces output without origin. Each room converts one aspect of that fact into a capability: naming the norms (Library), understanding the mechanism (Machine Room), verifying the words (Study), and designing assessment that the machine cannot fake (Examiner's Workshop). The final gate reframes the whole game: the code was never hidden in the room, it is what the player brings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300"/>
        <w:gridCol w:w="1926"/>
      </w:tblGrid>
      <w:tr>
        <w:tc>
          <w:tcPr>
            <w:tcW w:type="dxa" w:w="19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Room</w:t>
            </w:r>
          </w:p>
        </w:tc>
        <w:tc>
          <w:tcPr>
            <w:tcW w:type="dxa" w:w="29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Question it answers</w:t>
            </w:r>
          </w:p>
        </w:tc>
        <w:tc>
          <w:tcPr>
            <w:tcW w:type="dxa" w:w="23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Signature activity</w:t>
            </w:r>
          </w:p>
        </w:tc>
        <w:tc>
          <w:tcPr>
            <w:tcW w:type="dxa" w:w="1926"/>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Gate code</w:t>
            </w:r>
          </w:p>
        </w:tc>
      </w:tr>
      <w:tr>
        <w:tc>
          <w:tcPr>
            <w:tcW w:type="dxa" w:w="1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0. Start</w:t>
            </w:r>
          </w:p>
        </w:tc>
        <w:tc>
          <w:tcPr>
            <w:tcW w:type="dxa" w:w="2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Where do I stand?</w:t>
            </w:r>
          </w:p>
        </w:tc>
        <w:tc>
          <w:tcPr>
            <w:tcW w:type="dxa" w:w="2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Self-assessment survey</w:t>
            </w:r>
          </w:p>
        </w:tc>
        <w:tc>
          <w:tcPr>
            <w:tcW w:type="dxa" w:w="19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(none)</w:t>
            </w:r>
          </w:p>
        </w:tc>
      </w:tr>
      <w:tr>
        <w:tc>
          <w:tcPr>
            <w:tcW w:type="dxa" w:w="1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1. The Library</w:t>
            </w:r>
          </w:p>
        </w:tc>
        <w:tc>
          <w:tcPr>
            <w:tcW w:type="dxa" w:w="2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What do we owe each other?</w:t>
            </w:r>
          </w:p>
        </w:tc>
        <w:tc>
          <w:tcPr>
            <w:tcW w:type="dxa" w:w="2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Definition discussion + policy shelf + crossword</w:t>
            </w:r>
          </w:p>
        </w:tc>
        <w:tc>
          <w:tcPr>
            <w:tcW w:type="dxa" w:w="19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APA</w:t>
            </w:r>
          </w:p>
        </w:tc>
      </w:tr>
      <w:tr>
        <w:tc>
          <w:tcPr>
            <w:tcW w:type="dxa" w:w="1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2. The Machine Room</w:t>
            </w:r>
          </w:p>
        </w:tc>
        <w:tc>
          <w:tcPr>
            <w:tcW w:type="dxa" w:w="2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How does it work?</w:t>
            </w:r>
          </w:p>
        </w:tc>
        <w:tc>
          <w:tcPr>
            <w:tcW w:type="dxa" w:w="2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Videos + think-like-a-transformer game + graded quiz</w:t>
            </w:r>
          </w:p>
        </w:tc>
        <w:tc>
          <w:tcPr>
            <w:tcW w:type="dxa" w:w="19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TOKEN</w:t>
            </w:r>
          </w:p>
        </w:tc>
      </w:tr>
      <w:tr>
        <w:tc>
          <w:tcPr>
            <w:tcW w:type="dxa" w:w="1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3. The Study</w:t>
            </w:r>
          </w:p>
        </w:tc>
        <w:tc>
          <w:tcPr>
            <w:tcW w:type="dxa" w:w="2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Real or fake, and then what?</w:t>
            </w:r>
          </w:p>
        </w:tc>
        <w:tc>
          <w:tcPr>
            <w:tcW w:type="dxa" w:w="2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Two-papers verification + Memphis confrontation</w:t>
            </w:r>
          </w:p>
        </w:tc>
        <w:tc>
          <w:tcPr>
            <w:tcW w:type="dxa" w:w="19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CONTEXT</w:t>
            </w:r>
          </w:p>
        </w:tc>
      </w:tr>
      <w:tr>
        <w:tc>
          <w:tcPr>
            <w:tcW w:type="dxa" w:w="1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4. The Examiner's Workshop</w:t>
            </w:r>
          </w:p>
        </w:tc>
        <w:tc>
          <w:tcPr>
            <w:tcW w:type="dxa" w:w="2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How do I design for it?</w:t>
            </w:r>
          </w:p>
        </w:tc>
        <w:tc>
          <w:tcPr>
            <w:tcW w:type="dxa" w:w="2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Redesign one of your own assessments + peer review</w:t>
            </w:r>
          </w:p>
        </w:tc>
        <w:tc>
          <w:tcPr>
            <w:tcW w:type="dxa" w:w="19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ALIGNMENT</w:t>
            </w:r>
          </w:p>
        </w:tc>
      </w:tr>
      <w:tr>
        <w:tc>
          <w:tcPr>
            <w:tcW w:type="dxa" w:w="1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5. The Door</w:t>
            </w:r>
          </w:p>
        </w:tc>
        <w:tc>
          <w:tcPr>
            <w:tcW w:type="dxa" w:w="29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What do I stand for?</w:t>
            </w:r>
          </w:p>
        </w:tc>
        <w:tc>
          <w:tcPr>
            <w:tcW w:type="dxa" w:w="2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Personal AI charter on the wall of fame</w:t>
            </w:r>
          </w:p>
        </w:tc>
        <w:tc>
          <w:tcPr>
            <w:tcW w:type="dxa" w:w="19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INTEGRITY</w:t>
            </w:r>
          </w:p>
        </w:tc>
      </w:tr>
    </w:tbl>
    <w:p>
      <w:pPr>
        <w:spacing w:after="120"/>
      </w:pPr>
    </w:p>
    <w:p>
      <w:pPr>
        <w:pStyle w:val="Heading1"/>
        <w:spacing w:after="200" w:before="360"/>
      </w:pPr>
      <w:r>
        <w:t xml:space="preserve">5. LEARNING OUTCOMES</w:t>
      </w:r>
    </w:p>
    <w:p>
      <w:pPr>
        <w:spacing w:after="160"/>
        <w:jc w:val="both"/>
      </w:pPr>
      <w:r>
        <w:rPr>
          <w:rFonts w:ascii="Calibri" w:cs="Calibri" w:eastAsia="Calibri" w:hAnsi="Calibri"/>
          <w:color w:val="1A1A1A"/>
          <w:sz w:val="22"/>
          <w:szCs w:val="22"/>
        </w:rPr>
        <w:t xml:space="preserve">Six outcomes anchor the alignment chain. Each is written as a performance the corresponding room makes the participant practise and demonstrate.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300"/>
        <w:gridCol w:w="1600"/>
        <w:gridCol w:w="1526"/>
      </w:tblGrid>
      <w:tr>
        <w:tc>
          <w:tcPr>
            <w:tcW w:type="dxa" w:w="6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3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Outcome (the participant can…)</w:t>
            </w:r>
          </w:p>
        </w:tc>
        <w:tc>
          <w:tcPr>
            <w:tcW w:type="dxa" w:w="16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Level (Bloom)</w:t>
            </w:r>
          </w:p>
        </w:tc>
        <w:tc>
          <w:tcPr>
            <w:tcW w:type="dxa" w:w="1526"/>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Room</w:t>
            </w:r>
          </w:p>
        </w:tc>
      </w:tr>
      <w:tr>
        <w:tc>
          <w:tcPr>
            <w:tcW w:type="dxa" w:w="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1</w:t>
            </w:r>
          </w:p>
        </w:tc>
        <w:tc>
          <w:tcPr>
            <w:tcW w:type="dxa" w:w="5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define academic integrity and locate the Nyenrode regulations that govern it, including the AI guiding principles</w:t>
            </w:r>
          </w:p>
        </w:tc>
        <w:tc>
          <w:tcPr>
            <w:tcW w:type="dxa" w:w="1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Understand</w:t>
            </w:r>
          </w:p>
        </w:tc>
        <w:tc>
          <w:tcPr>
            <w:tcW w:type="dxa" w:w="15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1</w:t>
            </w:r>
          </w:p>
        </w:tc>
      </w:tr>
      <w:tr>
        <w:tc>
          <w:tcPr>
            <w:tcW w:type="dxa" w:w="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2</w:t>
            </w:r>
          </w:p>
        </w:tc>
        <w:tc>
          <w:tcPr>
            <w:tcW w:type="dxa" w:w="5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explain how a large language model generates text: tokens, context, next-token prediction, and what reasoning models add</w:t>
            </w:r>
          </w:p>
        </w:tc>
        <w:tc>
          <w:tcPr>
            <w:tcW w:type="dxa" w:w="1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Understand</w:t>
            </w:r>
          </w:p>
        </w:tc>
        <w:tc>
          <w:tcPr>
            <w:tcW w:type="dxa" w:w="15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2</w:t>
            </w:r>
          </w:p>
        </w:tc>
      </w:tr>
      <w:tr>
        <w:tc>
          <w:tcPr>
            <w:tcW w:type="dxa" w:w="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3</w:t>
            </w:r>
          </w:p>
        </w:tc>
        <w:tc>
          <w:tcPr>
            <w:tcW w:type="dxa" w:w="5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evaluate AI-generated text by verifying sources and recognising fabrication patterns, and explain why style alone is not evidence</w:t>
            </w:r>
          </w:p>
        </w:tc>
        <w:tc>
          <w:tcPr>
            <w:tcW w:type="dxa" w:w="1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Evaluate</w:t>
            </w:r>
          </w:p>
        </w:tc>
        <w:tc>
          <w:tcPr>
            <w:tcW w:type="dxa" w:w="15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3</w:t>
            </w:r>
          </w:p>
        </w:tc>
      </w:tr>
      <w:tr>
        <w:tc>
          <w:tcPr>
            <w:tcW w:type="dxa" w:w="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4</w:t>
            </w:r>
          </w:p>
        </w:tc>
        <w:tc>
          <w:tcPr>
            <w:tcW w:type="dxa" w:w="5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conduct a fair, firm integrity conversation with a student suspected of misconduct, and name the correct governance route</w:t>
            </w:r>
          </w:p>
        </w:tc>
        <w:tc>
          <w:tcPr>
            <w:tcW w:type="dxa" w:w="1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Apply</w:t>
            </w:r>
          </w:p>
        </w:tc>
        <w:tc>
          <w:tcPr>
            <w:tcW w:type="dxa" w:w="15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3</w:t>
            </w:r>
          </w:p>
        </w:tc>
      </w:tr>
      <w:tr>
        <w:tc>
          <w:tcPr>
            <w:tcW w:type="dxa" w:w="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5</w:t>
            </w:r>
          </w:p>
        </w:tc>
        <w:tc>
          <w:tcPr>
            <w:tcW w:type="dxa" w:w="5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redesign an assessment so that it remains valid in an AI-rich environment, using constructive alignment, a toetsmatrijs and the four quality criteria</w:t>
            </w:r>
          </w:p>
        </w:tc>
        <w:tc>
          <w:tcPr>
            <w:tcW w:type="dxa" w:w="1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Create</w:t>
            </w:r>
          </w:p>
        </w:tc>
        <w:tc>
          <w:tcPr>
            <w:tcW w:type="dxa" w:w="15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4</w:t>
            </w:r>
          </w:p>
        </w:tc>
      </w:tr>
      <w:tr>
        <w:tc>
          <w:tcPr>
            <w:tcW w:type="dxa" w:w="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6</w:t>
            </w:r>
          </w:p>
        </w:tc>
        <w:tc>
          <w:tcPr>
            <w:tcW w:type="dxa" w:w="53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formulate and publicly commit to a personal standard for using, disclosing and verifying AI in their own teaching and research</w:t>
            </w:r>
          </w:p>
        </w:tc>
        <w:tc>
          <w:tcPr>
            <w:tcW w:type="dxa" w:w="16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Create</w:t>
            </w:r>
          </w:p>
        </w:tc>
        <w:tc>
          <w:tcPr>
            <w:tcW w:type="dxa" w:w="15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5</w:t>
            </w:r>
          </w:p>
        </w:tc>
      </w:tr>
    </w:tbl>
    <w:p>
      <w:pPr>
        <w:spacing w:after="120"/>
      </w:pPr>
    </w:p>
    <w:p>
      <w:pPr>
        <w:pStyle w:val="Heading1"/>
        <w:spacing w:after="200" w:before="360"/>
      </w:pPr>
      <w:r>
        <w:t xml:space="preserve">6. ROOM-BY-ROOM DESIGN</w:t>
      </w:r>
    </w:p>
    <w:p>
      <w:pPr>
        <w:pStyle w:val="Heading2"/>
        <w:spacing w:after="160" w:before="240"/>
      </w:pPr>
      <w:r>
        <w:t xml:space="preserve">ROOM 0: START</w:t>
      </w:r>
    </w:p>
    <w:p>
      <w:pPr>
        <w:spacing w:after="160"/>
        <w:jc w:val="both"/>
      </w:pPr>
      <w:r>
        <w:rPr>
          <w:rFonts w:ascii="Calibri" w:cs="Calibri" w:eastAsia="Calibri" w:hAnsi="Calibri"/>
          <w:color w:val="1A1A1A"/>
          <w:sz w:val="22"/>
          <w:szCs w:val="22"/>
        </w:rPr>
        <w:t xml:space="preserve">A short narrative page states the premise and, crucially, the transparency contract: in this course AI use is expected and disclosed, because integrity is honesty about method rather than abstinence. A five-question survey (usage, confidence, hopes and fears) mirrors the Toetsing course's zelfevaluatie and gives the course team a baseline for the closing measurement.</w:t>
      </w:r>
    </w:p>
    <w:p>
      <w:pPr>
        <w:pStyle w:val="Heading2"/>
        <w:spacing w:after="160" w:before="240"/>
      </w:pPr>
      <w:r>
        <w:t xml:space="preserve">ROOM 1: THE LIBRARY</w:t>
      </w:r>
    </w:p>
    <w:p>
      <w:pPr>
        <w:spacing w:after="160"/>
        <w:jc w:val="both"/>
      </w:pPr>
      <w:r>
        <w:rPr>
          <w:rFonts w:ascii="Calibri" w:cs="Calibri" w:eastAsia="Calibri" w:hAnsi="Calibri"/>
          <w:color w:val="1A1A1A"/>
          <w:sz w:val="22"/>
          <w:szCs w:val="22"/>
        </w:rPr>
        <w:t xml:space="preserve">The bookcase gains a policy shelf: the Academic Integrity and Plagiarism regulation, the Assessment Policy, the Artificial Intelligence guiding principles and the Guidelines for responsible use of GenAI in research, linked as documents participants will actually need again. The red book discussion keeps its proven question and adds the 2026 edge: has generative AI changed what integrity demands of us? The green book crossword and the APA gate are retained unchanged; they work.</w:t>
      </w:r>
    </w:p>
    <w:p>
      <w:pPr>
        <w:pStyle w:val="Heading2"/>
        <w:spacing w:after="160" w:before="240"/>
      </w:pPr>
      <w:r>
        <w:t xml:space="preserve">ROOM 2: THE MACHINE ROOM (NEW)</w:t>
      </w:r>
    </w:p>
    <w:p>
      <w:pPr>
        <w:spacing w:after="160"/>
        <w:jc w:val="both"/>
      </w:pPr>
      <w:r>
        <w:rPr>
          <w:rFonts w:ascii="Calibri" w:cs="Calibri" w:eastAsia="Calibri" w:hAnsi="Calibri"/>
          <w:color w:val="1A1A1A"/>
          <w:sz w:val="22"/>
          <w:szCs w:val="22"/>
        </w:rPr>
        <w:t xml:space="preserve">The centrepiece. First exposure comes from two short videos: Large Language Models explained briefly (3Blue1Brown) and This Is How Reasoning LLMs Really Work. Between them sits the think-like-a-transformer activity adapted from the existing lecture deck: participants predict the next token for increasingly contextualised sentences (the tosti, the salade Caprese) and meet the rhyme trap (ork, ork, ork: a pattern machine answers vork, a reasoning model answers lepel). One sentence is drilled until it sticks: the model does not know things, it predicts the most probable next token in a context. This is the only room with a graded quiz (minimum 8 out of 10, adopting the Toetsing convention), because outcome 2 is the load-bearing knowledge of the whole course.</w:t>
      </w:r>
    </w:p>
    <w:p>
      <w:pPr>
        <w:pStyle w:val="Heading2"/>
        <w:spacing w:after="160" w:before="240"/>
      </w:pPr>
      <w:r>
        <w:t xml:space="preserve">ROOM 3: THE STUDY</w:t>
      </w:r>
    </w:p>
    <w:p>
      <w:pPr>
        <w:spacing w:after="160"/>
        <w:jc w:val="both"/>
      </w:pPr>
      <w:r>
        <w:rPr>
          <w:rFonts w:ascii="Calibri" w:cs="Calibri" w:eastAsia="Calibri" w:hAnsi="Calibri"/>
          <w:color w:val="1A1A1A"/>
          <w:sz w:val="22"/>
          <w:szCs w:val="22"/>
        </w:rPr>
        <w:t xml:space="preserve">Plesman's desk keeps its notebook quiz and the two suspicious papers, but the discussion assignment shifts from guessing (which paper is AI?) to verifying: name a check that goes beyond style, and trace the references. The debrief text keeps the current course's honest conclusion, which participants consistently rediscover in the discussion board: without a confession you can rarely be sure, detection is weak, verification and design are strong. The Memphis confrontation follows as the room's applied exercise, framed by the governance rule that real cases go to the Exam Committee.</w:t>
      </w:r>
    </w:p>
    <w:p>
      <w:pPr>
        <w:pStyle w:val="Heading2"/>
        <w:spacing w:after="160" w:before="240"/>
      </w:pPr>
      <w:r>
        <w:t xml:space="preserve">ROOM 4: THE EXAMINER'S WORKSHOP</w:t>
      </w:r>
    </w:p>
    <w:p>
      <w:pPr>
        <w:spacing w:after="160"/>
        <w:jc w:val="both"/>
      </w:pPr>
      <w:r>
        <w:rPr>
          <w:rFonts w:ascii="Calibri" w:cs="Calibri" w:eastAsia="Calibri" w:hAnsi="Calibri"/>
          <w:color w:val="1A1A1A"/>
          <w:sz w:val="22"/>
          <w:szCs w:val="22"/>
        </w:rPr>
        <w:t xml:space="preserve">The chest of drawers becomes the merged home of Cursus Toetsing en Examinering. Three new framing pages (alignment as the lock AI-shortcuts pick; the four quality criteria plus the Alternative Assessment governance route; the three moves of process, authenticity and assessment-for-learning) sit above the reused Dutch theory pages. The room's assessment is the course's authentic performance: each participant redesigns one assessment from their own module, shows the alignment chain, discloses their own AI use in producing it, and peer-reviews a colleague. A TRACI-structured co-design prompt is offered, making skilled AI use part of the assessed craft rather than a secret.</w:t>
      </w:r>
    </w:p>
    <w:p>
      <w:pPr>
        <w:pStyle w:val="Heading2"/>
        <w:spacing w:after="160" w:before="240"/>
      </w:pPr>
      <w:r>
        <w:t xml:space="preserve">ROOM 5: THE DOOR</w:t>
      </w:r>
    </w:p>
    <w:p>
      <w:pPr>
        <w:spacing w:after="160"/>
        <w:jc w:val="both"/>
      </w:pPr>
      <w:r>
        <w:rPr>
          <w:rFonts w:ascii="Calibri" w:cs="Calibri" w:eastAsia="Calibri" w:hAnsi="Calibri"/>
          <w:color w:val="1A1A1A"/>
          <w:sz w:val="22"/>
          <w:szCs w:val="22"/>
        </w:rPr>
        <w:t xml:space="preserve">The final gate reuses the strongest emotional beat of the original (the wall of fame) and upgrades it from a signature to a commitment: name plus one sentence stating how the participant will use, disclose and verify AI this year. The non-personalised certificate remains.</w:t>
      </w:r>
    </w:p>
    <w:p>
      <w:pPr>
        <w:pStyle w:val="Heading1"/>
        <w:spacing w:after="200" w:before="360"/>
      </w:pPr>
      <w:r>
        <w:t xml:space="preserve">7. THE AI-LITERACY SPINE</w:t>
      </w:r>
    </w:p>
    <w:p>
      <w:pPr>
        <w:spacing w:after="160"/>
        <w:jc w:val="both"/>
      </w:pPr>
      <w:r>
        <w:rPr>
          <w:rFonts w:ascii="Calibri" w:cs="Calibri" w:eastAsia="Calibri" w:hAnsi="Calibri"/>
          <w:color w:val="1A1A1A"/>
          <w:sz w:val="22"/>
          <w:szCs w:val="22"/>
        </w:rPr>
        <w:t xml:space="preserve">Across the rooms runs a deliberate conceptual sequence taken from the existing GenAI lecture deck, so the course and the live lectures tell one story. Tokens carry meaning relationally (the two servers); a transformer predicts the next token from context; more and better context yields more precise output, which grounds both prompting (TRACI: task, role, audience, create, intent) and agent design (LACK: what language models lack, namely apps, context and knowledge, with the human in the loop); reasoning models add deliberation but not truth; and the human contribution is exactly the judgement the machine cannot supply. The escape room teaches the first half of this spine; the live session and future agent-literacy modules can build on it without re-explaining.</w:t>
      </w:r>
    </w:p>
    <w:p>
      <w:pPr>
        <w:pStyle w:val="Heading1"/>
        <w:spacing w:after="200" w:before="360"/>
      </w:pPr>
      <w:r>
        <w:t xml:space="preserve">8. ASSESSMENT, INTEGRITY AND GOVERNANCE</w:t>
      </w:r>
    </w:p>
    <w:p>
      <w:pPr>
        <w:spacing w:after="160"/>
        <w:jc w:val="both"/>
      </w:pPr>
      <w:r>
        <w:rPr>
          <w:rFonts w:ascii="Calibri" w:cs="Calibri" w:eastAsia="Calibri" w:hAnsi="Calibri"/>
          <w:color w:val="1A1A1A"/>
          <w:sz w:val="22"/>
          <w:szCs w:val="22"/>
        </w:rPr>
        <w:t xml:space="preserve">The course practises what it preaches. Its own assessment is process-based and participation-gated: contribute-gated discussions, one graded knowledge check, one authentic redesign assignment with disclosure, and a public commitment. Nothing in the course can be completed by pasting machine output, because every gate asks for something situated: your definition, your verification, your assessment, your name.</w:t>
      </w:r>
    </w:p>
    <w:p>
      <w:pPr>
        <w:spacing w:after="160"/>
        <w:jc w:val="both"/>
      </w:pPr>
      <w:r>
        <w:rPr>
          <w:rFonts w:ascii="Calibri" w:cs="Calibri" w:eastAsia="Calibri" w:hAnsi="Calibri"/>
          <w:color w:val="1A1A1A"/>
          <w:sz w:val="22"/>
          <w:szCs w:val="22"/>
        </w:rPr>
        <w:t xml:space="preserve">For participants' own practice the course carries the institutional frame explicitly: the four quality criteria (validity, reliability, transparency, usability) as the test every assessment must pass; the four-eyes principle; and the Alternative Assessment procedure as the governance route when AI threatens the validity of a promised assessment form, with the Assessment Committee advising and the Exam Committee approving.</w:t>
      </w:r>
    </w:p>
    <w:p>
      <w:pPr>
        <w:spacing w:after="160"/>
        <w:jc w:val="both"/>
      </w:pPr>
      <w:r>
        <w:rPr>
          <w:rFonts w:ascii="Calibri" w:cs="Calibri" w:eastAsia="Calibri" w:hAnsi="Calibri"/>
          <w:color w:val="1A1A1A"/>
          <w:sz w:val="22"/>
          <w:szCs w:val="22"/>
        </w:rPr>
        <w:t xml:space="preserve">The course also teaches the AI policy itself, verified against the source documents. Nyenrode's Principes voor verantwoord gebruik AI in het onderwijs rest on three principles: Academic Integrity (refrain from fraud in any form; presenting generative-AI output as your own work is fraud; AI may improve readability, language and style but may not replace the core tasks of writing such as developing scholarly insights or conclusions), Informed Participation (a basic understanding of the model, its data, its biases, and the privacy, copyright and trusted-environment issues around it), and Accountability (full responsibility for every decision to use AI and for what it generates, with transparent disclosure in an appendix or footnotes naming purpose, generated parts and tool). The research guidelines add a stoplight table by academic task, from language editing (high desirability) through drafting and data analysis (low, extra caution) to two absolute reds: AI peer review and AI-generated research data. Their overarching consensus, shared by all major publishers and the European Commission's living guidelines, is that AI can never be an author and the human remains accountable. Room 1 carries these principles on a dedicated house-rules page; the Room 3 notebook quiz checks them.</w:t>
      </w:r>
    </w:p>
    <w:p>
      <w:pPr>
        <w:pStyle w:val="Heading1"/>
        <w:spacing w:after="200" w:before="360"/>
      </w:pPr>
      <w:r>
        <w:t xml:space="preserve">9. GUARDRAILS FOR THE AI ELEMENTS</w:t>
      </w:r>
    </w:p>
    <w:p>
      <w:pPr>
        <w:spacing w:after="160"/>
        <w:jc w:val="both"/>
      </w:pPr>
      <w:r>
        <w:rPr>
          <w:rFonts w:ascii="Calibri" w:cs="Calibri" w:eastAsia="Calibri" w:hAnsi="Calibri"/>
          <w:color w:val="1A1A1A"/>
          <w:sz w:val="22"/>
          <w:szCs w:val="22"/>
        </w:rPr>
        <w:t xml:space="preserve">Memphis remains the model of a well-scoped educational bot: it plays one role, cannot write anyone's thesis, and exists to make the participant practise a hard conversation. Its card announces that it is an AI roleplay. The new token-prediction game deliberately uses hard-coded probability distributions rather than a live model: no participant data leaves the environment, the behaviour is reproducible, and the pedagogy needs the illustration, not the API. Any future in-tenant rebuild of Memphis (Copilot Studio, grounded per LACK, instructed per TRACI) inherits the same constraints, and the Socratic archetype remains the house default wherever judgement is the outcome.</w:t>
      </w:r>
    </w:p>
    <w:p>
      <w:pPr>
        <w:pStyle w:val="Heading1"/>
        <w:spacing w:after="200" w:before="360"/>
      </w:pPr>
      <w:r>
        <w:t xml:space="preserve">10. DELIVERY: THREE FORMS, ONE DESIGN</w:t>
      </w:r>
    </w:p>
    <w:p>
      <w:pPr>
        <w:spacing w:after="160"/>
        <w:jc w:val="both"/>
      </w:pPr>
      <w:r>
        <w:rPr>
          <w:rFonts w:ascii="Calibri" w:cs="Calibri" w:eastAsia="Calibri" w:hAnsi="Calibri"/>
          <w:color w:val="1A1A1A"/>
          <w:sz w:val="22"/>
          <w:szCs w:val="22"/>
        </w:rPr>
        <w:t xml:space="preserve">The design ships in three coordinated forms. First, the Canvas rebuild: the fastest route, reusing the existing course as chassis; the ready-to-paste texts, gates, quiz items and codes are supplied in the companion document Canvas_ready_content.md. Second, the code-based escape room: a standalone, privacy-clean web version with native puzzles (token predictor, source checker, alignment builder), specified for a coding agent in Coding_agent_blueprint.md, version-controlled in git and embeddable in Canvas. Third, the live session: the existing lecture deck already contains the Machine Room's material in presentation form; the escape room becomes its preparation layer, freeing the session for peer instruction, the Memphis debrief and intervision on real cases from participants' own modules.</w:t>
      </w:r>
    </w:p>
    <w:p>
      <w:pPr>
        <w:pStyle w:val="Heading1"/>
        <w:spacing w:after="200" w:before="360"/>
      </w:pPr>
      <w:r>
        <w:t xml:space="preserve">11.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226"/>
      </w:tblGrid>
      <w:tr>
        <w:tc>
          <w:tcPr>
            <w:tcW w:type="dxa" w:w="7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5100"/>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226"/>
            <w:tcBorders>
              <w:top w:val="single" w:color="C8D3D9" w:sz="1"/>
              <w:left w:val="single" w:color="C8D3D9" w:sz="1"/>
              <w:bottom w:val="single" w:color="C8D3D9" w:sz="1"/>
              <w:right w:val="single" w:color="C8D3D9" w:sz="1"/>
            </w:tcBorders>
            <w:shd w:fill="5D7291" w:val="clear"/>
            <w:tcMar>
              <w:top w:type="dxa" w:w="80"/>
              <w:left w:type="dxa" w:w="120"/>
              <w:bottom w:type="dxa" w:w="80"/>
              <w:right w:type="dxa" w:w="120"/>
            </w:tcMar>
          </w:tcPr>
          <w:p>
            <w:r>
              <w:rPr>
                <w:rFonts w:ascii="Calibri" w:cs="Calibri" w:eastAsia="Calibri" w:hAnsi="Calibri"/>
                <w:b/>
                <w:bCs/>
                <w:color w:val="FFFFFF"/>
                <w:sz w:val="20"/>
                <w:szCs w:val="20"/>
              </w:rPr>
              <w:t xml:space="preserve">Owner / note</w:t>
            </w:r>
          </w:p>
        </w:tc>
      </w:tr>
      <w:tr>
        <w:tc>
          <w:tcPr>
            <w:tcW w:type="dxa" w:w="7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1</w:t>
            </w:r>
          </w:p>
        </w:tc>
        <w:tc>
          <w:tcPr>
            <w:tcW w:type="dxa" w:w="51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Validate this design and the room texts with the course owner and TLC</w:t>
            </w:r>
          </w:p>
        </w:tc>
        <w:tc>
          <w:tcPr>
            <w:tcW w:type="dxa" w:w="32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Course team</w:t>
            </w:r>
          </w:p>
        </w:tc>
      </w:tr>
      <w:tr>
        <w:tc>
          <w:tcPr>
            <w:tcW w:type="dxa" w:w="7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2</w:t>
            </w:r>
          </w:p>
        </w:tc>
        <w:tc>
          <w:tcPr>
            <w:tcW w:type="dxa" w:w="51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Policy verification against the AI policy and GenAI research PDFs: done (July 2026); re-check on each policy update</w:t>
            </w:r>
          </w:p>
        </w:tc>
        <w:tc>
          <w:tcPr>
            <w:tcW w:type="dxa" w:w="32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Completed in this design</w:t>
            </w:r>
          </w:p>
        </w:tc>
      </w:tr>
      <w:tr>
        <w:tc>
          <w:tcPr>
            <w:tcW w:type="dxa" w:w="7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3</w:t>
            </w:r>
          </w:p>
        </w:tc>
        <w:tc>
          <w:tcPr>
            <w:tcW w:type="dxa" w:w="51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Duplicate the Escaperoom course in Canvas; add Rooms 0 and 2; import Toetsing theory pages into Room 4</w:t>
            </w:r>
          </w:p>
        </w:tc>
        <w:tc>
          <w:tcPr>
            <w:tcW w:type="dxa" w:w="32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TLC, ~2 days with the ready-to-paste pack</w:t>
            </w:r>
          </w:p>
        </w:tc>
      </w:tr>
      <w:tr>
        <w:tc>
          <w:tcPr>
            <w:tcW w:type="dxa" w:w="7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4</w:t>
            </w:r>
          </w:p>
        </w:tc>
        <w:tc>
          <w:tcPr>
            <w:tcW w:type="dxa" w:w="51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Build the token-prediction mini-game (or ship Room 2 with videos and quiz only in v1)</w:t>
            </w:r>
          </w:p>
        </w:tc>
        <w:tc>
          <w:tcPr>
            <w:tcW w:type="dxa" w:w="32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Coding agent per blueprint</w:t>
            </w:r>
          </w:p>
        </w:tc>
      </w:tr>
      <w:tr>
        <w:tc>
          <w:tcPr>
            <w:tcW w:type="dxa" w:w="7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5</w:t>
            </w:r>
          </w:p>
        </w:tc>
        <w:tc>
          <w:tcPr>
            <w:tcW w:type="dxa" w:w="51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Pilot with one cohort; compare start/end self-assessments; observe discussion quality</w:t>
            </w:r>
          </w:p>
        </w:tc>
        <w:tc>
          <w:tcPr>
            <w:tcW w:type="dxa" w:w="32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Course team</w:t>
            </w:r>
          </w:p>
        </w:tc>
      </w:tr>
      <w:tr>
        <w:tc>
          <w:tcPr>
            <w:tcW w:type="dxa" w:w="7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6</w:t>
            </w:r>
          </w:p>
        </w:tc>
        <w:tc>
          <w:tcPr>
            <w:tcW w:type="dxa" w:w="5100"/>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V2: rebuild Memphis in-tenant (Copilot Studio); consider LTI grade passback for the web version</w:t>
            </w:r>
          </w:p>
        </w:tc>
        <w:tc>
          <w:tcPr>
            <w:tcW w:type="dxa" w:w="3226"/>
            <w:tcBorders>
              <w:top w:val="single" w:color="C8D3D9" w:sz="1"/>
              <w:left w:val="single" w:color="C8D3D9" w:sz="1"/>
              <w:bottom w:val="single" w:color="C8D3D9" w:sz="1"/>
              <w:right w:val="single" w:color="C8D3D9" w:sz="1"/>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TLC / IT</w:t>
            </w:r>
          </w:p>
        </w:tc>
      </w:tr>
    </w:tbl>
    <w:p>
      <w:pPr>
        <w:spacing w:after="120"/>
      </w:pPr>
    </w:p>
    <w:p>
      <w:pPr>
        <w:pStyle w:val="Heading1"/>
        <w:spacing w:after="200" w:before="360"/>
      </w:pPr>
      <w:r>
        <w:t xml:space="preserve">12. SOURCES</w:t>
      </w:r>
    </w:p>
    <w:p>
      <w:pPr>
        <w:spacing w:after="160"/>
        <w:jc w:val="both"/>
      </w:pPr>
      <w:r>
        <w:rPr>
          <w:rFonts w:ascii="Calibri" w:cs="Calibri" w:eastAsia="Calibri" w:hAnsi="Calibri"/>
          <w:color w:val="1A1A1A"/>
          <w:sz w:val="22"/>
          <w:szCs w:val="22"/>
        </w:rPr>
        <w:t xml:space="preserve">Course inventories: Academic Integrity – the Escaperoom (nyenrode.instructure.com, course 5575) and Cursus Toetsing en Examinering 2025–2026 (course 6305), full participant walkthrough July 2026.</w:t>
      </w:r>
    </w:p>
    <w:p>
      <w:pPr>
        <w:spacing w:after="160"/>
        <w:jc w:val="both"/>
      </w:pPr>
      <w:r>
        <w:rPr>
          <w:rFonts w:ascii="Calibri" w:cs="Calibri" w:eastAsia="Calibri" w:hAnsi="Calibri"/>
          <w:color w:val="1A1A1A"/>
          <w:sz w:val="22"/>
          <w:szCs w:val="22"/>
        </w:rPr>
        <w:t xml:space="preserve">Ground Design Principles for Interactive Learning Design, Nyenrode TLC, version 1.0, June 2026 (constructive alignment, blended layers, Community of Inquiry, AI guardrails, chatbot archetypes, TRACI and LACK, assessment principles).</w:t>
      </w:r>
    </w:p>
    <w:p>
      <w:pPr>
        <w:spacing w:after="160"/>
        <w:jc w:val="both"/>
      </w:pPr>
      <w:r>
        <w:rPr>
          <w:rFonts w:ascii="Calibri" w:cs="Calibri" w:eastAsia="Calibri" w:hAnsi="Calibri"/>
          <w:color w:val="1A1A1A"/>
          <w:sz w:val="22"/>
          <w:szCs w:val="22"/>
        </w:rPr>
        <w:t xml:space="preserve">Lecture deck Generatieve AI: een korte introductie (GenAItheorie.pptx): tokens, transformer intuition, context, reasoning models, TRACI, LACK, human-centered AI, dimensions of humanness.</w:t>
      </w:r>
    </w:p>
    <w:p>
      <w:pPr>
        <w:spacing w:after="160"/>
        <w:jc w:val="both"/>
      </w:pPr>
      <w:r>
        <w:rPr>
          <w:rFonts w:ascii="Calibri" w:cs="Calibri" w:eastAsia="Calibri" w:hAnsi="Calibri"/>
          <w:color w:val="1A1A1A"/>
          <w:sz w:val="22"/>
          <w:szCs w:val="22"/>
        </w:rPr>
        <w:t xml:space="preserve">Videos: 3Blue1Brown, Large Language Models explained briefly (youtu.be/LPZh9BOjkQs); This Is How Reasoning LLMs Really Work (youtu.be/ygRDcMWHDy0).</w:t>
      </w:r>
    </w:p>
    <w:p>
      <w:pPr>
        <w:spacing w:after="160"/>
        <w:jc w:val="both"/>
      </w:pPr>
      <w:r>
        <w:rPr>
          <w:rFonts w:ascii="Calibri" w:cs="Calibri" w:eastAsia="Calibri" w:hAnsi="Calibri"/>
          <w:color w:val="1A1A1A"/>
          <w:sz w:val="22"/>
          <w:szCs w:val="22"/>
        </w:rPr>
        <w:t xml:space="preserve">Policy documents (verified against the PDF texts, July 2026): Principes van Nyenrode voor verantwoord gebruik AI in het onderwijs; Guidelines for responsible use of Generative AI in business research (July 2025); Academic Integrity and Plagiarism; Assessment Policy; all via nyenrode.nl/en/about-us/about-nyenrode/terms-and-conditions.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D7291" w:sz="4" w:space="1"/>
      </w:pBdr>
      <w:tabs>
        <w:tab w:val="right" w:pos="9026"/>
      </w:tabs>
    </w:pPr>
    <w:r>
      <w:rPr>
        <w:rFonts w:ascii="Calibri" w:cs="Calibri" w:eastAsia="Calibri" w:hAnsi="Calibri"/>
        <w:b/>
        <w:bCs/>
        <w:color w:val="355071"/>
        <w:spacing w:val="30"/>
        <w:sz w:val="16"/>
        <w:szCs w:val="16"/>
      </w:rPr>
      <w:t xml:space="preserve">NYENRODE. A REWARD FOR LIFE</w:t>
    </w:r>
    <w:r>
      <w:rPr>
        <w:rFonts w:ascii="Calibri" w:cs="Calibri" w:eastAsia="Calibri" w:hAnsi="Calibri"/>
        <w:sz w:val="16"/>
        <w:szCs w:val="16"/>
      </w:rPr>
      <w:t xml:space="preserve">	</w:t>
    </w:r>
    <w:r>
      <w:rPr>
        <w:rFonts w:ascii="Calibri" w:cs="Calibri" w:eastAsia="Calibri" w:hAnsi="Calibri"/>
        <w:color w:val="5D7291"/>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7291" w:sz="4" w:space="1"/>
      </w:pBdr>
      <w:tabs>
        <w:tab w:val="right" w:pos="9026"/>
      </w:tabs>
    </w:pPr>
    <w:r>
      <w:rPr>
        <w:rFonts w:ascii="Calibri" w:cs="Calibri" w:eastAsia="Calibri" w:hAnsi="Calibri"/>
        <w:color w:val="5D7291"/>
        <w:spacing w:val="20"/>
        <w:sz w:val="16"/>
        <w:szCs w:val="16"/>
      </w:rPr>
      <w:t xml:space="preserve">ACADEMIC INTEGRITY 2.0 – COURSE DESIGN</w:t>
    </w:r>
    <w:r>
      <w:rPr>
        <w:rFonts w:ascii="Calibri" w:cs="Calibri" w:eastAsia="Calibri" w:hAnsi="Calibri"/>
        <w:b/>
        <w:bCs/>
        <w:color w:val="5D7291"/>
        <w:spacing w:val="20"/>
        <w:sz w:val="16"/>
        <w:szCs w:val="16"/>
      </w:rPr>
      <w:t xml:space="preserve">	NYENRODE BUSINESS UNIVERSITEIT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55071"/>
      <w:spacing w:val="30"/>
      <w:sz w:val="30"/>
      <w:szCs w:val="30"/>
    </w:rPr>
  </w:style>
  <w:style w:type="paragraph" w:styleId="Heading2">
    <w:name w:val="Heading 2"/>
    <w:basedOn w:val="Normal"/>
    <w:next w:val="Normal"/>
    <w:qFormat/>
    <w:pPr>
      <w:spacing w:after="160" w:before="240"/>
      <w:outlineLvl w:val="1"/>
    </w:pPr>
    <w:rPr>
      <w:rFonts w:ascii="Calibri" w:cs="Calibri" w:eastAsia="Calibri" w:hAnsi="Calibri"/>
      <w:b/>
      <w:bCs/>
      <w:color w:val="355071"/>
      <w:spacing w:val="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2026-07-07T11:16:43.775Z</dcterms:created>
  <dcterms:modified xsi:type="dcterms:W3CDTF">2026-07-07T11:16:43.776Z</dcterms:modified>
</cp:coreProperties>
</file>

<file path=docProps/custom.xml><?xml version="1.0" encoding="utf-8"?>
<Properties xmlns="http://schemas.openxmlformats.org/officeDocument/2006/custom-properties" xmlns:vt="http://schemas.openxmlformats.org/officeDocument/2006/docPropsVTypes"/>
</file>