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Sustainability Consultancy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provide professional consulting services and advisory support for digital sustainability transformations in diverse organizational contexts.</w:t>
      </w:r>
    </w:p>
    <w:p>
      <w:pPr>
        <w:jc w:val="center"/>
      </w:pPr>
      <w:r>
        <w:rPr>
          <w:color w:val="666666"/>
          <w:sz w:val="20"/>
        </w:rPr>
        <w:t>EQF Level 6 | 10.0 ECTS | 3 Modules | Work-Based Learning: 62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Advisory services and solution bridging</w:t>
      </w:r>
    </w:p>
    <w:p>
      <w:r>
        <w:rPr>
          <w:b/>
        </w:rPr>
        <w:t xml:space="preserve">Target Audience: </w:t>
      </w:r>
      <w:r>
        <w:t>Professionals seeking to develop consulting expertise for sustainability advisory roles with SMEs and organizations requiring transformation support</w:t>
      </w:r>
    </w:p>
    <w:p>
      <w:r>
        <w:rPr>
          <w:b/>
        </w:rPr>
        <w:t xml:space="preserve">Learning Approach: </w:t>
      </w:r>
      <w:r>
        <w:t>EQF Level 6 professional development program with 10.0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Consulting competency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Client assessment project: </w:t>
      </w:r>
      <w:r>
        <w:t>35%</w:t>
      </w:r>
    </w:p>
    <w:p>
      <w:r>
        <w:rPr>
          <w:b/>
        </w:rPr>
        <w:t xml:space="preserve">• Solution design presentation: </w:t>
      </w:r>
      <w:r>
        <w:t>40%</w:t>
      </w:r>
    </w:p>
    <w:p>
      <w:r>
        <w:rPr>
          <w:b/>
        </w:rPr>
        <w:t xml:space="preserve">• Implementation roadmap: </w:t>
      </w:r>
      <w:r>
        <w:t>25%</w:t>
      </w:r>
    </w:p>
    <w:p>
      <w:r>
        <w:rPr>
          <w:b/>
        </w:rPr>
        <w:t xml:space="preserve">Rationale: </w:t>
      </w:r>
      <w:r>
        <w:t>Consultancy programs establish core competencies in client engagement and solution development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100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86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62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Critically evaluate foundational concepts of introduction to digital sustainability and their application to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strategic professional application of introduction to digital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Sustainability Assessment and Benchmarking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Evaluate organizational sustainability performance against relevant benchmarks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Formulate analytical frameworks for sustainability assessment and benchmarking within advisory services and solution bridging contexts within sustainability applications.</w:t>
      </w:r>
    </w:p>
    <w:p>
      <w:r>
        <w:rPr>
          <w:b/>
        </w:rPr>
        <w:t xml:space="preserve">Skills: </w:t>
      </w:r>
      <w:r>
        <w:t>Innovate professional application of sustainability assessment and benchmarking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organizational consulting engagement involving sustainability assessment and benchmarking while ensuring professional standards and stakeholder value.</w:t>
      </w:r>
    </w:p>
    <w:p>
      <w:pPr>
        <w:pStyle w:val="Heading2"/>
      </w:pPr>
      <w:r>
        <w:t>Module 3: Sustainability Frameworks and Standards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45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39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28 hours</w:t>
            </w:r>
          </w:p>
        </w:tc>
      </w:tr>
    </w:tbl>
    <w:p>
      <w:r>
        <w:rPr>
          <w:b/>
        </w:rPr>
        <w:t xml:space="preserve">Description: </w:t>
      </w:r>
      <w:r>
        <w:t>Overview of major sustainability frameworks, regulations, and standards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Construct implementation strategies for sustainability frameworks and standards in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Optimize management strategies for sustainability frameworks and standards to support advisory services and solution bridging in organizational contexts.</w:t>
      </w:r>
    </w:p>
    <w:p>
      <w:r>
        <w:rPr>
          <w:b/>
        </w:rPr>
        <w:t xml:space="preserve">Competence: </w:t>
      </w:r>
      <w:r>
        <w:t>Drive change in professional responsibilities involving sustainability frameworks and standards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Consultant competencies at EQF Level 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