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Digital Sustainability Consultant (EQF 7)</w:t>
      </w:r>
    </w:p>
    <w:p>
      <w:r>
        <w:t>EQF Level: 7</w:t>
      </w:r>
    </w:p>
    <w:p>
      <w:r>
        <w:t>Total ECTS: 45 (1125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digital sustainability consultant with EQF Level 7 competencies</w:t>
      </w:r>
    </w:p>
    <w:p>
      <w:pPr>
        <w:pStyle w:val="Heading1"/>
      </w:pPr>
      <w:r>
        <w:t>Unit Learning Outcomes</w:t>
      </w:r>
    </w:p>
    <w:p>
      <w:r>
        <w:t>Units Summary: Units include: Digital Sustainability Consultant Core Competency 1, Digital Sustainability Consultant Core Competency 2, Digital Sustainability Consultant Core Competency 3, Digital Sustainability Consultant Core Competency 4</w:t>
      </w:r>
    </w:p>
    <w:p>
      <w:pPr>
        <w:pStyle w:val="Heading2"/>
      </w:pPr>
      <w:r>
        <w:t>Unit: Digital Sustainability Consultant Core Competency 1 (11 ECTS)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Consultant Core Competency 2 (11 ECTS)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Consultant Core Competency 3 (11 ECTS)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Consultant Core Competency 4 (11 ECTS)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