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Business Analyst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business analyst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Sustainability Business Analyst Core Competency 1, Sustainability Business Analyst Core Competency 2, Sustainability Business Analyst Core Competency 3, Sustainability Business Analyst Core Competency 4</w:t>
      </w:r>
    </w:p>
    <w:p>
      <w:pPr>
        <w:pStyle w:val="Heading2"/>
      </w:pPr>
      <w:r>
        <w:t>Unit: Sustainability Business Analyst Core Competency 1 (11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2 (11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3 (11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4 (11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