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Consultant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consultant with EQF Level 7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consultant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Consultant Core Competency 1, Digital Sustainability Consultant Core Competency 2, Digital Sustainability Consultant Core Competency 3, Digital Sustainability Consultant Core Competency 4</w:t>
      </w:r>
    </w:p>
    <w:p>
      <w:pPr>
        <w:pStyle w:val="Heading2"/>
      </w:pPr>
      <w:r>
        <w:t>Unit: Digital Sustainability Consultant Core Competency 1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2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3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Digital Sustainability Consultant Core Competency 4 (11 ECTS)</w:t>
      </w:r>
    </w:p>
    <w:p>
      <w:r>
        <w:t>Complexity: EQF Level 7 complexity requiring professional competency development</w:t>
      </w:r>
    </w:p>
    <w:p>
      <w:r>
        <w:t>Knowledge: Advanced knowledge relevant to digital sustainability consultant professional practice</w:t>
      </w:r>
    </w:p>
    <w:p>
      <w:r>
        <w:t>Skills: Advanced skills application in digital sustainability consultant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