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Environmental Analyst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environmental analyst with comprehensive competency building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environmental analyst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Environmental Analyst Core Competency 1, Environmental Analyst Core Competency 2, Environmental Analyst Core Competency 3</w:t>
      </w:r>
    </w:p>
    <w:p>
      <w:pPr>
        <w:pStyle w:val="Heading2"/>
      </w:pPr>
      <w:r>
        <w:t>Unit: Environmental Analyst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environmental analyst professional practice</w:t>
      </w:r>
    </w:p>
    <w:p>
      <w:r>
        <w:t>Skills: Advanced skills application in environmental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Environmental Analyst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environmental analyst professional practice</w:t>
      </w:r>
    </w:p>
    <w:p>
      <w:r>
        <w:t>Skills: Advanced skills application in environmental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Environmental Analyst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environmental analyst professional practice</w:t>
      </w:r>
    </w:p>
    <w:p>
      <w:r>
        <w:t>Skills: Advanced skills application in environmental analyst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