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Green Finance Specialist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green finance specialist with comprehensive competency building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green finance specialist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Green Finance Specialist Core Competency 1, Green Finance Specialist Core Competency 2, Green Finance Specialist Core Competency 3</w:t>
      </w:r>
    </w:p>
    <w:p>
      <w:pPr>
        <w:pStyle w:val="Heading2"/>
      </w:pPr>
      <w:r>
        <w:t>Unit: Green Finance Specialist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green finance specialist professional practice</w:t>
      </w:r>
    </w:p>
    <w:p>
      <w:r>
        <w:t>Skills: Advanced skills application in green finance specialist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Green Finance Specialist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green finance specialist professional practice</w:t>
      </w:r>
    </w:p>
    <w:p>
      <w:r>
        <w:t>Skills: Advanced skills application in green finance specialist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Green Finance Specialist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green finance specialist professional practice</w:t>
      </w:r>
    </w:p>
    <w:p>
      <w:r>
        <w:t>Skills: Advanced skills application in green finance specialist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