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Carbon Management Specialist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carbon management specialist with comprehensive competency building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carbon management specialist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Carbon Management Specialist Core Competency 1, Carbon Management Specialist Core Competency 2, Carbon Management Specialist Core Competency 3</w:t>
      </w:r>
    </w:p>
    <w:p>
      <w:pPr>
        <w:pStyle w:val="Heading2"/>
      </w:pPr>
      <w:r>
        <w:t>Unit: Carbon Management Specialist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carbon management specialist professional practice</w:t>
      </w:r>
    </w:p>
    <w:p>
      <w:r>
        <w:t>Skills: Advanced skills application in carbon management specialist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Carbon Management Specialist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carbon management specialist professional practice</w:t>
      </w:r>
    </w:p>
    <w:p>
      <w:r>
        <w:t>Skills: Advanced skills application in carbon management specialist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Carbon Management Specialist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carbon management specialist professional practice</w:t>
      </w:r>
    </w:p>
    <w:p>
      <w:r>
        <w:t>Skills: Advanced skills application in carbon management specialist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