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909FA3F">
      <w:pPr>
        <w:pStyle w:val="style0"/>
        <w:spacing w:after="328" w:lineRule="auto" w:line="259"/>
        <w:ind w:left="564" w:right="0" w:firstLine="0"/>
        <w:jc w:val="center"/>
        <w:rPr/>
      </w:pPr>
      <w:r>
        <w:rPr>
          <w:b/>
        </w:rPr>
        <w:t>BIBLIOGRAPHIE</w:t>
      </w:r>
      <w:r>
        <w:t xml:space="preserve"> </w:t>
      </w:r>
    </w:p>
    <w:p w14:paraId="4ED21395">
      <w:pPr>
        <w:pStyle w:val="style0"/>
        <w:tabs>
          <w:tab w:val="center" w:leader="none" w:pos="437"/>
          <w:tab w:val="center" w:leader="none" w:pos="2730"/>
        </w:tabs>
        <w:spacing w:after="171" w:lineRule="auto" w:line="259"/>
        <w:ind w:left="0" w:right="0" w:firstLine="0"/>
        <w:jc w:val="left"/>
        <w:rPr/>
      </w:pPr>
      <w:r>
        <w:rPr>
          <w:rFonts w:ascii="Calibri" w:cs="Calibri" w:eastAsia="Calibri" w:hAnsi="Calibri"/>
          <w:sz w:val="22"/>
        </w:rPr>
        <w:tab/>
      </w:r>
      <w:r>
        <w:rPr>
          <w:b/>
        </w:rPr>
        <w:t>I.</w:t>
      </w:r>
      <w:r>
        <w:rPr>
          <w:rFonts w:ascii="Arial" w:cs="Arial" w:eastAsia="Arial" w:hAnsi="Arial"/>
          <w:b/>
        </w:rPr>
        <w:t xml:space="preserve"> </w:t>
      </w:r>
      <w:r>
        <w:rPr>
          <w:rFonts w:ascii="Arial" w:cs="Arial" w:eastAsia="Arial" w:hAnsi="Arial"/>
          <w:b/>
        </w:rPr>
        <w:tab/>
      </w:r>
      <w:r>
        <w:rPr>
          <w:b/>
        </w:rPr>
        <w:t xml:space="preserve">INSTRUMENTS JURIDIQUES </w:t>
      </w:r>
    </w:p>
    <w:p w14:paraId="6C462D04">
      <w:pPr>
        <w:pStyle w:val="style1"/>
        <w:spacing w:after="115"/>
        <w:ind w:left="355"/>
        <w:rPr/>
      </w:pPr>
      <w:r>
        <w:t>A.</w:t>
      </w:r>
      <w:r>
        <w:rPr>
          <w:rFonts w:ascii="Arial" w:cs="Arial" w:eastAsia="Arial" w:hAnsi="Arial"/>
        </w:rPr>
        <w:t xml:space="preserve"> </w:t>
      </w:r>
      <w:r>
        <w:t xml:space="preserve">INSTRUMENTS JURIDIQUES INTERNATIONAUX </w:t>
      </w:r>
    </w:p>
    <w:p w14:paraId="5B39F640">
      <w:pPr>
        <w:pStyle w:val="style0"/>
        <w:spacing w:after="163" w:lineRule="auto" w:line="259"/>
        <w:ind w:left="720" w:right="0" w:firstLine="0"/>
        <w:jc w:val="left"/>
        <w:rPr/>
      </w:pPr>
      <w:r>
        <w:rPr>
          <w:b/>
        </w:rPr>
        <w:t xml:space="preserve"> </w:t>
      </w:r>
    </w:p>
    <w:p w14:paraId="59A8E292">
      <w:pPr>
        <w:pStyle w:val="style0"/>
        <w:numPr>
          <w:ilvl w:val="0"/>
          <w:numId w:val="1"/>
        </w:numPr>
        <w:ind w:right="0" w:hanging="360"/>
        <w:rPr/>
      </w:pPr>
      <w:r>
        <w:t xml:space="preserve">Convention de l’Union Africaine sur la </w:t>
      </w:r>
      <w:r>
        <w:t>cybersécurité</w:t>
      </w:r>
      <w:r>
        <w:t xml:space="preserve"> et la protection des données à caractère personnel, adoptée par la vingt-troisième session ordinaire de la conférence de l’Union à Malabo, Guinée Equatoriale, le 27 Juin 2014. </w:t>
      </w:r>
    </w:p>
    <w:p w14:paraId="3F08D567">
      <w:pPr>
        <w:pStyle w:val="style0"/>
        <w:numPr>
          <w:ilvl w:val="0"/>
          <w:numId w:val="1"/>
        </w:numPr>
        <w:ind w:right="0" w:hanging="360"/>
        <w:rPr/>
      </w:pPr>
      <w:r>
        <w:t xml:space="preserve">Convention des Nations Unies contre la corruption, Adoptée le 31 octobre 2003 par la résolution A/RES/58/4, entrée en vigueur le 14 décembre 2005. </w:t>
      </w:r>
    </w:p>
    <w:p w14:paraId="50EFAC81">
      <w:pPr>
        <w:pStyle w:val="style0"/>
        <w:numPr>
          <w:ilvl w:val="0"/>
          <w:numId w:val="1"/>
        </w:numPr>
        <w:ind w:right="0" w:hanging="360"/>
        <w:rPr/>
      </w:pPr>
      <w:r>
        <w:t xml:space="preserve">Convention sur la cybercriminalité du Conseil de l’Europe, Budapest, 23 novembre 2001, entrée en vigueur le 01 juillet 2004, </w:t>
      </w:r>
      <w:r>
        <w:rPr>
          <w:i/>
        </w:rPr>
        <w:t>In série des traités européens</w:t>
      </w:r>
      <w:r>
        <w:t xml:space="preserve">, N°185. </w:t>
      </w:r>
    </w:p>
    <w:p w14:paraId="15B9B3C6">
      <w:pPr>
        <w:pStyle w:val="style0"/>
        <w:numPr>
          <w:ilvl w:val="0"/>
          <w:numId w:val="1"/>
        </w:numPr>
        <w:ind w:right="0" w:hanging="360"/>
        <w:rPr/>
      </w:pPr>
      <w:r>
        <w:t xml:space="preserve">Déclaration Universelle des Droits de l’homme, adoptée par l’assemblée générale des Nations Unies à Paris, France, par sa résolution 217A(III) du 10 décembre 1948, </w:t>
      </w:r>
      <w:r>
        <w:rPr>
          <w:i/>
        </w:rPr>
        <w:t>in</w:t>
      </w:r>
      <w:r>
        <w:t xml:space="preserve"> </w:t>
      </w:r>
      <w:r>
        <w:rPr>
          <w:i/>
        </w:rPr>
        <w:t>J.O.Z.,</w:t>
      </w:r>
      <w:r>
        <w:t xml:space="preserve"> n° spécial, juin 1987, </w:t>
      </w:r>
      <w:r>
        <w:rPr>
          <w:i/>
        </w:rPr>
        <w:t xml:space="preserve">in les codes </w:t>
      </w:r>
      <w:r>
        <w:rPr>
          <w:i/>
        </w:rPr>
        <w:t>Larcier</w:t>
      </w:r>
      <w:r>
        <w:t xml:space="preserve">, République Démocratique du Congo, Tome IV, Droit public et administratif, Volume 1. Droit public, éd. De Boeck et </w:t>
      </w:r>
      <w:r>
        <w:t>Larcier</w:t>
      </w:r>
      <w:r>
        <w:t xml:space="preserve"> S.A., 2003.  </w:t>
      </w:r>
    </w:p>
    <w:p w14:paraId="10325D6B">
      <w:pPr>
        <w:pStyle w:val="style0"/>
        <w:numPr>
          <w:ilvl w:val="0"/>
          <w:numId w:val="1"/>
        </w:numPr>
        <w:ind w:right="0" w:hanging="360"/>
        <w:rPr/>
      </w:pPr>
      <w:r>
        <w:t xml:space="preserve">Pacte International relatif aux droits civils et politiques, New York, 16 décembre 1966, </w:t>
      </w:r>
      <w:r>
        <w:rPr>
          <w:i/>
        </w:rPr>
        <w:t>in</w:t>
      </w:r>
      <w:r>
        <w:t xml:space="preserve"> </w:t>
      </w:r>
      <w:r>
        <w:rPr>
          <w:i/>
        </w:rPr>
        <w:t>JO RDC</w:t>
      </w:r>
      <w:r>
        <w:t xml:space="preserve">, 40ème année n° spécial du 09 avril 1999 portant instruments juridiques internationaux relatifs aux droits de l’homme ratifiés par la RDC. </w:t>
      </w:r>
    </w:p>
    <w:p w14:paraId="773684F8">
      <w:pPr>
        <w:pStyle w:val="style0"/>
        <w:spacing w:after="168" w:lineRule="auto" w:line="259"/>
        <w:ind w:left="1080" w:right="0" w:firstLine="0"/>
        <w:jc w:val="left"/>
        <w:rPr/>
      </w:pPr>
      <w:r>
        <w:t xml:space="preserve"> </w:t>
      </w:r>
    </w:p>
    <w:p w14:paraId="019819A8">
      <w:pPr>
        <w:pStyle w:val="style1"/>
        <w:ind w:left="355"/>
        <w:rPr/>
      </w:pPr>
      <w:r>
        <w:t>B.</w:t>
      </w:r>
      <w:r>
        <w:rPr>
          <w:rFonts w:ascii="Arial" w:cs="Arial" w:eastAsia="Arial" w:hAnsi="Arial"/>
        </w:rPr>
        <w:t xml:space="preserve"> </w:t>
      </w:r>
      <w:r>
        <w:t xml:space="preserve">INSTRUMENTS JURIDIQUES NATIONAUX </w:t>
      </w:r>
    </w:p>
    <w:p w14:paraId="431CE360">
      <w:pPr>
        <w:pStyle w:val="style0"/>
        <w:numPr>
          <w:ilvl w:val="0"/>
          <w:numId w:val="2"/>
        </w:numPr>
        <w:ind w:right="0" w:hanging="360"/>
        <w:rPr/>
      </w:pPr>
      <w:r>
        <w:t xml:space="preserve">Constitution de la République Démocratique du Congo, modifiée par la loi n° 11/002 du 20 janvier 2011 portant révision de certains articles de la Constitution de la République Démocratique du Congo du 18 février 2006, </w:t>
      </w:r>
      <w:r>
        <w:rPr>
          <w:i/>
        </w:rPr>
        <w:t>in JO RDC</w:t>
      </w:r>
      <w:r>
        <w:t xml:space="preserve">, 52ième année, n° spécial du 05 février 2011.  </w:t>
      </w:r>
    </w:p>
    <w:p w14:paraId="464BAD32">
      <w:pPr>
        <w:pStyle w:val="style0"/>
        <w:numPr>
          <w:ilvl w:val="0"/>
          <w:numId w:val="2"/>
        </w:numPr>
        <w:ind w:right="0" w:hanging="360"/>
        <w:rPr/>
      </w:pPr>
      <w:r>
        <w:t xml:space="preserve">Décret du 30 janvier 1940 portant Code pénal congolais tel que modifié, complété et mis à jour au 11 septembre 2023, </w:t>
      </w:r>
      <w:r>
        <w:rPr>
          <w:i/>
        </w:rPr>
        <w:t>In J.O. RDC</w:t>
      </w:r>
      <w:r>
        <w:t xml:space="preserve">. </w:t>
      </w:r>
    </w:p>
    <w:p w14:paraId="60403BDE">
      <w:pPr>
        <w:pStyle w:val="style0"/>
        <w:numPr>
          <w:ilvl w:val="0"/>
          <w:numId w:val="2"/>
        </w:numPr>
        <w:ind w:right="0" w:hanging="360"/>
        <w:rPr/>
      </w:pPr>
      <w:r>
        <w:t>Décret du 06 août 1959 portant code de procédure pénale, tel que modifié, complété et mis à jour au 11 septembre 2023 BO 1959</w:t>
      </w:r>
      <w:r>
        <w:rPr>
          <w:i/>
        </w:rPr>
        <w:t>, In J.O. RDC.</w:t>
      </w:r>
      <w:r>
        <w:t xml:space="preserve"> </w:t>
      </w:r>
    </w:p>
    <w:p w14:paraId="1B459249">
      <w:pPr>
        <w:pStyle w:val="style0"/>
        <w:numPr>
          <w:ilvl w:val="0"/>
          <w:numId w:val="2"/>
        </w:numPr>
        <w:ind w:right="0" w:hanging="360"/>
        <w:rPr/>
      </w:pPr>
      <w:r>
        <w:t>Loi organique n° 13/011-</w:t>
      </w:r>
      <w:r>
        <w:t xml:space="preserve">B du 11 avril 2013 portant organisation, fonctionnement et compétences des juridictions de l’ordre judiciaire, </w:t>
      </w:r>
      <w:r>
        <w:rPr>
          <w:i/>
        </w:rPr>
        <w:t>In JO RDC</w:t>
      </w:r>
      <w:r>
        <w:t xml:space="preserve">, 54ième année, Numéro spécial du 04 mai 2013. </w:t>
      </w:r>
    </w:p>
    <w:p w14:paraId="5709BDCE">
      <w:pPr>
        <w:pStyle w:val="style0"/>
        <w:numPr>
          <w:ilvl w:val="0"/>
          <w:numId w:val="2"/>
        </w:numPr>
        <w:ind w:right="0" w:hanging="360"/>
        <w:rPr/>
      </w:pPr>
      <w:r>
        <w:t xml:space="preserve">Loi n°18-019 du 9 juillet 2018 relative aux systèmes de paiement et de </w:t>
      </w:r>
      <w:r>
        <w:t>règlementtitres</w:t>
      </w:r>
      <w:r>
        <w:t xml:space="preserve">, </w:t>
      </w:r>
      <w:r>
        <w:rPr>
          <w:i/>
        </w:rPr>
        <w:t>In J.O. RDC</w:t>
      </w:r>
      <w:r>
        <w:t xml:space="preserve">, Numéro spécial du 23 juillet 2018. </w:t>
      </w:r>
    </w:p>
    <w:p w14:paraId="2BC36606">
      <w:pPr>
        <w:pStyle w:val="style0"/>
        <w:numPr>
          <w:ilvl w:val="0"/>
          <w:numId w:val="2"/>
        </w:numPr>
        <w:ind w:right="0" w:hanging="360"/>
        <w:rPr/>
      </w:pPr>
      <w:r>
        <w:t xml:space="preserve">Loi n°20/017 du 25 novembre 2020 relative aux télécommunications et aux technologies de l’information et de la communication, </w:t>
      </w:r>
      <w:r>
        <w:rPr>
          <w:i/>
        </w:rPr>
        <w:t>In J.O. RDC</w:t>
      </w:r>
      <w:r>
        <w:t>, 62</w:t>
      </w:r>
      <w:r>
        <w:rPr>
          <w:vertAlign w:val="superscript"/>
        </w:rPr>
        <w:t>ème</w:t>
      </w:r>
      <w:r>
        <w:t xml:space="preserve">, Numéro du 22 septembre 2021. </w:t>
      </w:r>
    </w:p>
    <w:p w14:paraId="022DB406">
      <w:pPr>
        <w:pStyle w:val="style0"/>
        <w:numPr>
          <w:ilvl w:val="0"/>
          <w:numId w:val="2"/>
        </w:numPr>
        <w:ind w:right="0" w:hanging="360"/>
        <w:rPr/>
      </w:pPr>
      <w:r>
        <w:t xml:space="preserve">Ordonnance-Loi n°23/010 du 13 Mars 2023 portant code du numérique, </w:t>
      </w:r>
      <w:r>
        <w:rPr>
          <w:i/>
        </w:rPr>
        <w:t>In J.O. RDC</w:t>
      </w:r>
      <w:r>
        <w:t>, Numéro spécial du 11 avril 2023.</w:t>
      </w:r>
      <w:r>
        <w:rPr>
          <w:i/>
        </w:rPr>
        <w:t xml:space="preserve"> </w:t>
      </w:r>
      <w:r>
        <w:t xml:space="preserve"> </w:t>
      </w:r>
    </w:p>
    <w:p w14:paraId="2E5FF45E">
      <w:pPr>
        <w:pStyle w:val="style0"/>
        <w:numPr>
          <w:ilvl w:val="0"/>
          <w:numId w:val="2"/>
        </w:numPr>
        <w:ind w:right="0" w:hanging="360"/>
        <w:rPr/>
      </w:pPr>
      <w:r>
        <w:t xml:space="preserve">Ordonnance n°87-243 du 22 juillet 1987 portant réglementation de l’activité informatique en République du Zaïre, </w:t>
      </w:r>
      <w:r>
        <w:rPr>
          <w:i/>
        </w:rPr>
        <w:t>in JOZ</w:t>
      </w:r>
      <w:r>
        <w:t xml:space="preserve">, n°15, 1er août 1987.  </w:t>
      </w:r>
    </w:p>
    <w:p w14:paraId="322E77BE">
      <w:pPr>
        <w:pStyle w:val="style0"/>
        <w:numPr>
          <w:ilvl w:val="0"/>
          <w:numId w:val="2"/>
        </w:numPr>
        <w:ind w:right="0" w:hanging="360"/>
        <w:rPr/>
      </w:pPr>
      <w:r>
        <w:t xml:space="preserve">Décret n°13/017 du 06 juin 2013 déterminant l’organisation et le fonctionnement du Commissariat général de la Police nationale congolaise, </w:t>
      </w:r>
      <w:r>
        <w:rPr>
          <w:i/>
        </w:rPr>
        <w:t>In J.O. RDC</w:t>
      </w:r>
      <w:r>
        <w:t xml:space="preserve">, col. 1, Numéro du 25 juin 2013.  </w:t>
      </w:r>
    </w:p>
    <w:p w14:paraId="3BB48A57">
      <w:pPr>
        <w:pStyle w:val="style0"/>
        <w:numPr>
          <w:ilvl w:val="0"/>
          <w:numId w:val="2"/>
        </w:numPr>
        <w:ind w:right="0" w:hanging="360"/>
        <w:rPr/>
      </w:pPr>
      <w:r>
        <w:t xml:space="preserve">Arrêté Ministériel </w:t>
      </w:r>
      <w:r>
        <w:t>n°CAB</w:t>
      </w:r>
      <w:r>
        <w:t>/MIN/PT&amp;N/AKIM/KL/</w:t>
      </w:r>
      <w:r>
        <w:t>Kbs</w:t>
      </w:r>
      <w:r>
        <w:t xml:space="preserve">/051/2024 du 17 août 2024 portant harmonisation des modalités de mise en œuvre des régimes de l’Ordonnance-loi n°023/010 du 13 mars 2023 portant Code du numérique et de la loi n°20/017 du 25 novembre 2020 relative aux télécommunications et technologies de l’information, </w:t>
      </w:r>
      <w:r>
        <w:rPr>
          <w:i/>
        </w:rPr>
        <w:t>In J.O. RDC</w:t>
      </w:r>
      <w:r>
        <w:t xml:space="preserve">, Numéro spécial du18 septembre 2024. </w:t>
      </w:r>
    </w:p>
    <w:p w14:paraId="182C0F0A">
      <w:pPr>
        <w:pStyle w:val="style0"/>
        <w:numPr>
          <w:ilvl w:val="0"/>
          <w:numId w:val="2"/>
        </w:numPr>
        <w:ind w:right="0" w:hanging="360"/>
        <w:rPr/>
      </w:pPr>
      <w:r>
        <w:t xml:space="preserve">Arrêté ministériel </w:t>
      </w:r>
      <w:r>
        <w:t>n°CAB</w:t>
      </w:r>
      <w:r>
        <w:t xml:space="preserve">/MIN/ECONUM/AKIM/MLNS/ALM/005/2026 du 11 mars 2026, fixant les conditions et les modalités de déclaration des activités et services numériques. </w:t>
      </w:r>
    </w:p>
    <w:p w14:paraId="6D49A788">
      <w:pPr>
        <w:pStyle w:val="style0"/>
        <w:numPr>
          <w:ilvl w:val="0"/>
          <w:numId w:val="2"/>
        </w:numPr>
        <w:ind w:right="0" w:hanging="360"/>
        <w:rPr/>
      </w:pPr>
      <w:r>
        <w:t xml:space="preserve">Circulaire du Procureur Général de la République n°2/008/IM/PGR/2011 du 07 mars 2011 relative à l’action des parquets, </w:t>
      </w:r>
      <w:r>
        <w:rPr>
          <w:i/>
        </w:rPr>
        <w:t>In Circulaires et Instructions générales</w:t>
      </w:r>
      <w:r>
        <w:t xml:space="preserve">, </w:t>
      </w:r>
    </w:p>
    <w:p w14:paraId="3DACEF63">
      <w:pPr>
        <w:pStyle w:val="style0"/>
        <w:spacing w:after="115" w:lineRule="auto" w:line="259"/>
        <w:ind w:left="1080" w:right="0" w:firstLine="0"/>
        <w:rPr/>
      </w:pPr>
      <w:r>
        <w:t xml:space="preserve">2011. </w:t>
      </w:r>
    </w:p>
    <w:p w14:paraId="2E6880DB">
      <w:pPr>
        <w:pStyle w:val="style0"/>
        <w:spacing w:after="164" w:lineRule="auto" w:line="259"/>
        <w:ind w:left="1080" w:right="0" w:firstLine="0"/>
        <w:jc w:val="left"/>
        <w:rPr/>
      </w:pPr>
      <w:r>
        <w:t xml:space="preserve"> </w:t>
      </w:r>
    </w:p>
    <w:p w14:paraId="7A242DDE">
      <w:pPr>
        <w:pStyle w:val="style0"/>
        <w:tabs>
          <w:tab w:val="center" w:leader="none" w:pos="484"/>
          <w:tab w:val="center" w:leader="none" w:pos="1727"/>
        </w:tabs>
        <w:spacing w:after="171" w:lineRule="auto" w:line="259"/>
        <w:ind w:left="0" w:right="0" w:firstLine="0"/>
        <w:jc w:val="left"/>
        <w:rPr/>
      </w:pPr>
      <w:r>
        <w:rPr>
          <w:rFonts w:ascii="Calibri" w:cs="Calibri" w:eastAsia="Calibri" w:hAnsi="Calibri"/>
          <w:sz w:val="22"/>
        </w:rPr>
        <w:tab/>
      </w:r>
      <w:r>
        <w:rPr>
          <w:b/>
        </w:rPr>
        <w:t>II.</w:t>
      </w:r>
      <w:r>
        <w:rPr>
          <w:rFonts w:ascii="Arial" w:cs="Arial" w:eastAsia="Arial" w:hAnsi="Arial"/>
          <w:b/>
        </w:rPr>
        <w:t xml:space="preserve"> </w:t>
      </w:r>
      <w:r>
        <w:rPr>
          <w:rFonts w:ascii="Arial" w:cs="Arial" w:eastAsia="Arial" w:hAnsi="Arial"/>
          <w:b/>
        </w:rPr>
        <w:tab/>
      </w:r>
      <w:r>
        <w:rPr>
          <w:b/>
        </w:rPr>
        <w:t xml:space="preserve">DOCTRINE </w:t>
      </w:r>
    </w:p>
    <w:p w14:paraId="59009575">
      <w:pPr>
        <w:pStyle w:val="style1"/>
        <w:ind w:left="355"/>
        <w:rPr/>
      </w:pPr>
      <w:r>
        <w:t>A.</w:t>
      </w:r>
      <w:r>
        <w:rPr>
          <w:rFonts w:ascii="Arial" w:cs="Arial" w:eastAsia="Arial" w:hAnsi="Arial"/>
        </w:rPr>
        <w:t xml:space="preserve"> </w:t>
      </w:r>
      <w:r>
        <w:t xml:space="preserve">OUVRAGES </w:t>
      </w:r>
    </w:p>
    <w:p w14:paraId="0672946E">
      <w:pPr>
        <w:pStyle w:val="style0"/>
        <w:numPr>
          <w:ilvl w:val="0"/>
          <w:numId w:val="3"/>
        </w:numPr>
        <w:ind w:right="0" w:hanging="360"/>
        <w:rPr/>
      </w:pPr>
      <w:r>
        <w:t>ALLAND (D.) et RIALS (S.) (</w:t>
      </w:r>
      <w:r>
        <w:t>dir</w:t>
      </w:r>
      <w:r>
        <w:t xml:space="preserve">.), </w:t>
      </w:r>
      <w:r>
        <w:rPr>
          <w:i/>
        </w:rPr>
        <w:t>Dictionnaire de la culture juridique</w:t>
      </w:r>
      <w:r>
        <w:t xml:space="preserve">, P.U.F, Paris, 2003. </w:t>
      </w:r>
    </w:p>
    <w:p w14:paraId="74B4FB27">
      <w:pPr>
        <w:pStyle w:val="style0"/>
        <w:numPr>
          <w:ilvl w:val="0"/>
          <w:numId w:val="3"/>
        </w:numPr>
        <w:spacing w:after="14"/>
        <w:ind w:right="0" w:hanging="360"/>
        <w:rPr/>
      </w:pPr>
      <w:r>
        <w:t xml:space="preserve">KIENGE-KIENGE INTUDI (R.), </w:t>
      </w:r>
      <w:r>
        <w:rPr>
          <w:i/>
        </w:rPr>
        <w:t>Le contrôle policier de la délinquance des jeunes à Kinshasa. Une approche ethnographique en criminologie</w:t>
      </w:r>
      <w:r>
        <w:t>, Louvain-La Neuve/Kinshasa, Bruyant-</w:t>
      </w:r>
      <w:r>
        <w:t>academia</w:t>
      </w:r>
      <w:r>
        <w:t>/</w:t>
      </w:r>
      <w:r>
        <w:t>Kazi</w:t>
      </w:r>
      <w:r>
        <w:t xml:space="preserve">, 2011. </w:t>
      </w:r>
    </w:p>
    <w:p w14:paraId="5E13F40A">
      <w:pPr>
        <w:pStyle w:val="style0"/>
        <w:numPr>
          <w:ilvl w:val="0"/>
          <w:numId w:val="3"/>
        </w:numPr>
        <w:spacing w:after="161" w:lineRule="auto" w:line="259"/>
        <w:ind w:right="0" w:hanging="360"/>
        <w:rPr/>
      </w:pPr>
      <w:r>
        <w:t xml:space="preserve">MANASI N’KUSU KALEBA (R.B.), </w:t>
      </w:r>
      <w:r>
        <w:rPr>
          <w:i/>
        </w:rPr>
        <w:t>Cybercriminalité</w:t>
      </w:r>
      <w:r>
        <w:t xml:space="preserve">. </w:t>
      </w:r>
      <w:r>
        <w:rPr>
          <w:i/>
        </w:rPr>
        <w:t>Vade-mecum</w:t>
      </w:r>
      <w:r>
        <w:t xml:space="preserve">, DES, </w:t>
      </w:r>
    </w:p>
    <w:p w14:paraId="3E85FAA0">
      <w:pPr>
        <w:pStyle w:val="style0"/>
        <w:spacing w:lineRule="auto" w:line="259"/>
        <w:ind w:left="1080" w:right="0" w:firstLine="0"/>
        <w:rPr/>
      </w:pPr>
      <w:r>
        <w:t xml:space="preserve">Kinshasa, 2025. </w:t>
      </w:r>
    </w:p>
    <w:p w14:paraId="34ECA18B">
      <w:pPr>
        <w:pStyle w:val="style0"/>
        <w:numPr>
          <w:ilvl w:val="0"/>
          <w:numId w:val="3"/>
        </w:numPr>
        <w:spacing w:after="14"/>
        <w:ind w:right="0" w:hanging="360"/>
        <w:rPr/>
      </w:pPr>
      <w:r>
        <w:t xml:space="preserve">MUPILI KABYUMA (C.), </w:t>
      </w:r>
      <w:r>
        <w:rPr>
          <w:i/>
        </w:rPr>
        <w:t>Droit pénal et droits de l’homme à l’épreuve de la cybercriminalité</w:t>
      </w:r>
      <w:r>
        <w:t xml:space="preserve">. </w:t>
      </w:r>
      <w:r>
        <w:rPr>
          <w:i/>
        </w:rPr>
        <w:t>Enjeux de la révolution numérique et nouvelles pistes de régulation de l’espace médiatique</w:t>
      </w:r>
      <w:r>
        <w:t xml:space="preserve">, L’Harmattan Rd Congo, Paris, 2024.  </w:t>
      </w:r>
    </w:p>
    <w:p w14:paraId="74FE2E08">
      <w:pPr>
        <w:pStyle w:val="style0"/>
        <w:numPr>
          <w:ilvl w:val="0"/>
          <w:numId w:val="3"/>
        </w:numPr>
        <w:ind w:right="0" w:hanging="360"/>
        <w:rPr/>
      </w:pPr>
      <w:r>
        <w:t xml:space="preserve">MVAKA NGUMBU (I.), </w:t>
      </w:r>
      <w:r>
        <w:rPr>
          <w:i/>
        </w:rPr>
        <w:t>Prévention du crime</w:t>
      </w:r>
      <w:r>
        <w:t xml:space="preserve">. </w:t>
      </w:r>
      <w:r>
        <w:rPr>
          <w:i/>
        </w:rPr>
        <w:t>Agir sur les facteurs de la criminalité</w:t>
      </w:r>
      <w:r>
        <w:t xml:space="preserve">, Ed. Les trois rivières, Kinshasa, 2020. </w:t>
      </w:r>
    </w:p>
    <w:p w14:paraId="5638CF42">
      <w:pPr>
        <w:pStyle w:val="style0"/>
        <w:numPr>
          <w:ilvl w:val="0"/>
          <w:numId w:val="3"/>
        </w:numPr>
        <w:spacing w:after="14"/>
        <w:ind w:right="0" w:hanging="360"/>
        <w:rPr/>
      </w:pPr>
      <w:r>
        <w:t xml:space="preserve">PAPA ASSANE TOURE, </w:t>
      </w:r>
      <w:r>
        <w:rPr>
          <w:i/>
        </w:rPr>
        <w:t>Le traitement de la cybercriminalité devant le juge. L’exemple du Sénégal</w:t>
      </w:r>
      <w:r>
        <w:t xml:space="preserve">, L’harmattan, Paris, 2014. </w:t>
      </w:r>
    </w:p>
    <w:p w14:paraId="5C73F576">
      <w:pPr>
        <w:pStyle w:val="style0"/>
        <w:numPr>
          <w:ilvl w:val="0"/>
          <w:numId w:val="3"/>
        </w:numPr>
        <w:spacing w:after="14"/>
        <w:ind w:right="0" w:hanging="360"/>
        <w:rPr/>
      </w:pPr>
      <w:r>
        <w:t xml:space="preserve">PUNGWE NEMBA (R.-N.), </w:t>
      </w:r>
      <w:r>
        <w:rPr>
          <w:i/>
        </w:rPr>
        <w:t>Guide pratique des magistrats du parquet. Les fonctions du Ministère Public en République Démocratique du Congo</w:t>
      </w:r>
      <w:r>
        <w:t xml:space="preserve">, Tome I En matière répressive, 2è éd., KONGO EDITIONS, Kinshasa, 2020. </w:t>
      </w:r>
    </w:p>
    <w:p w14:paraId="679C8B94">
      <w:pPr>
        <w:pStyle w:val="style0"/>
        <w:numPr>
          <w:ilvl w:val="0"/>
          <w:numId w:val="3"/>
        </w:numPr>
        <w:spacing w:after="14"/>
        <w:ind w:right="0" w:hanging="360"/>
        <w:rPr/>
      </w:pPr>
      <w:r>
        <w:t>SEGIHOBE (J-P.) et MINGASHANG (I.) (</w:t>
      </w:r>
      <w:r>
        <w:t>dir</w:t>
      </w:r>
      <w:r>
        <w:t xml:space="preserve">.), </w:t>
      </w:r>
      <w:r>
        <w:rPr>
          <w:i/>
        </w:rPr>
        <w:t xml:space="preserve">Le droit pénal entre douleur et enchantement dans le contexte contemporain. Liber </w:t>
      </w:r>
      <w:r>
        <w:rPr>
          <w:i/>
        </w:rPr>
        <w:t>amicorum</w:t>
      </w:r>
      <w:r>
        <w:rPr>
          <w:i/>
        </w:rPr>
        <w:t xml:space="preserve"> Doyen Raphaël </w:t>
      </w:r>
      <w:r>
        <w:rPr>
          <w:i/>
        </w:rPr>
        <w:t>Nyabirungu</w:t>
      </w:r>
      <w:r>
        <w:rPr>
          <w:i/>
        </w:rPr>
        <w:t xml:space="preserve"> </w:t>
      </w:r>
      <w:r>
        <w:rPr>
          <w:i/>
        </w:rPr>
        <w:t>mwene</w:t>
      </w:r>
      <w:r>
        <w:rPr>
          <w:i/>
        </w:rPr>
        <w:t xml:space="preserve"> </w:t>
      </w:r>
      <w:r>
        <w:rPr>
          <w:i/>
        </w:rPr>
        <w:t>Songa</w:t>
      </w:r>
      <w:r>
        <w:rPr>
          <w:i/>
        </w:rPr>
        <w:t xml:space="preserve">, </w:t>
      </w:r>
      <w:r>
        <w:t xml:space="preserve">BRUYLANT, Bruxelles, 2021.  </w:t>
      </w:r>
    </w:p>
    <w:p w14:paraId="7BA39330">
      <w:pPr>
        <w:pStyle w:val="style1"/>
        <w:ind w:left="355"/>
        <w:rPr/>
      </w:pPr>
      <w:r>
        <w:t>B.</w:t>
      </w:r>
      <w:r>
        <w:rPr>
          <w:rFonts w:ascii="Arial" w:cs="Arial" w:eastAsia="Arial" w:hAnsi="Arial"/>
        </w:rPr>
        <w:t xml:space="preserve"> </w:t>
      </w:r>
      <w:r>
        <w:t xml:space="preserve">ARTICLES </w:t>
      </w:r>
    </w:p>
    <w:p w14:paraId="4D52A441">
      <w:pPr>
        <w:pStyle w:val="style0"/>
        <w:numPr>
          <w:ilvl w:val="0"/>
          <w:numId w:val="4"/>
        </w:numPr>
        <w:spacing w:after="162" w:lineRule="auto" w:line="259"/>
        <w:ind w:right="0" w:hanging="360"/>
        <w:rPr/>
      </w:pPr>
      <w:r>
        <w:t xml:space="preserve">LUTUMBU IBOLANDONGO (M.), SHAKO EMAMBULU (E.) et TAMBWE </w:t>
      </w:r>
    </w:p>
    <w:p w14:paraId="76742934">
      <w:pPr>
        <w:pStyle w:val="style0"/>
        <w:ind w:left="705" w:right="0" w:firstLine="0"/>
        <w:rPr/>
      </w:pPr>
      <w:r>
        <w:t xml:space="preserve">MWEMBO (H.), « L’ambiguïté de la médiation en droit pénal congolais des mineurs. Judiciarisation ou déjudiciarisation ? », </w:t>
      </w:r>
      <w:r>
        <w:rPr>
          <w:i/>
        </w:rPr>
        <w:t>In Cahiers africains des droits de l’homme et de la démocratie ainsi que du développement durable</w:t>
      </w:r>
      <w:r>
        <w:t xml:space="preserve">, 30ème année, N°91, Vol.2, </w:t>
      </w:r>
      <w:r>
        <w:t>AvrilJuin</w:t>
      </w:r>
      <w:r>
        <w:t xml:space="preserve"> 2026, pp. 69-89. </w:t>
      </w:r>
    </w:p>
    <w:p w14:paraId="615D96B1">
      <w:pPr>
        <w:pStyle w:val="style0"/>
        <w:numPr>
          <w:ilvl w:val="0"/>
          <w:numId w:val="4"/>
        </w:numPr>
        <w:ind w:right="0" w:hanging="360"/>
        <w:rPr/>
      </w:pPr>
      <w:r>
        <w:t xml:space="preserve">SHAKO EMAMBULU (E.), « L’Officier du Ministère Public face à la recherche et l’administration de la preuve en matière de cybercriminalité : Les défis en question dans le contexte congolais », </w:t>
      </w:r>
      <w:r>
        <w:rPr>
          <w:i/>
        </w:rPr>
        <w:t>In Cahiers Africains des Droits de l’Homme et de la Démocratie</w:t>
      </w:r>
      <w:r>
        <w:t>, 30</w:t>
      </w:r>
      <w:r>
        <w:rPr>
          <w:vertAlign w:val="superscript"/>
        </w:rPr>
        <w:t>ème</w:t>
      </w:r>
      <w:r>
        <w:t xml:space="preserve"> année, n°86, Avril 2026, Vol.1, Tome 1, pp. 97-122. </w:t>
      </w:r>
    </w:p>
    <w:p w14:paraId="5E6AE63B">
      <w:pPr>
        <w:pStyle w:val="style0"/>
        <w:numPr>
          <w:ilvl w:val="0"/>
          <w:numId w:val="4"/>
        </w:numPr>
        <w:ind w:right="0" w:hanging="360"/>
        <w:rPr/>
      </w:pPr>
      <w:r>
        <w:t xml:space="preserve">SHAKO EMAMBULU (E.), « La désinvolture face au risque cyber dans le contexte congolais </w:t>
      </w:r>
      <w:r>
        <w:t xml:space="preserve">: Un frein à la mise en mouvement de l’action judiciaire en matière de cybercriminalité », </w:t>
      </w:r>
      <w:r>
        <w:rPr>
          <w:i/>
        </w:rPr>
        <w:t>In M.E.S.</w:t>
      </w:r>
      <w:r>
        <w:t xml:space="preserve">, n°153, Mai-juin 2026, pp. 187-193. </w:t>
      </w:r>
    </w:p>
    <w:p w14:paraId="460F4EC8">
      <w:pPr>
        <w:pStyle w:val="style0"/>
        <w:spacing w:after="167" w:lineRule="auto" w:line="259"/>
        <w:ind w:left="720" w:right="0" w:firstLine="0"/>
        <w:jc w:val="left"/>
        <w:rPr/>
      </w:pPr>
      <w:r>
        <w:rPr>
          <w:b/>
        </w:rPr>
        <w:t xml:space="preserve"> </w:t>
      </w:r>
    </w:p>
    <w:p w14:paraId="544E3755">
      <w:pPr>
        <w:pStyle w:val="style1"/>
        <w:spacing w:after="277"/>
        <w:ind w:left="355"/>
        <w:rPr/>
      </w:pPr>
      <w:r>
        <w:t>C.</w:t>
      </w:r>
      <w:r>
        <w:rPr>
          <w:rFonts w:ascii="Arial" w:cs="Arial" w:eastAsia="Arial" w:hAnsi="Arial"/>
        </w:rPr>
        <w:t xml:space="preserve"> </w:t>
      </w:r>
      <w:r>
        <w:t xml:space="preserve">NOTES DE COURS </w:t>
      </w:r>
    </w:p>
    <w:p w14:paraId="57AD8833">
      <w:pPr>
        <w:pStyle w:val="style0"/>
        <w:numPr>
          <w:ilvl w:val="0"/>
          <w:numId w:val="5"/>
        </w:numPr>
        <w:ind w:right="0" w:hanging="360"/>
        <w:rPr/>
      </w:pPr>
      <w:r>
        <w:t xml:space="preserve">BOALE BOMOLO (P.), </w:t>
      </w:r>
      <w:r>
        <w:rPr>
          <w:i/>
        </w:rPr>
        <w:t>Cours de Réseaux informatiques</w:t>
      </w:r>
      <w:r>
        <w:t xml:space="preserve">, UNIKIN, Faculté de sciences et technologies, Mention Mathématiques, statistiques et informatique, L2 LMD, 2024-2025.  </w:t>
      </w:r>
    </w:p>
    <w:p w14:paraId="374F01F1">
      <w:pPr>
        <w:pStyle w:val="style0"/>
        <w:numPr>
          <w:ilvl w:val="0"/>
          <w:numId w:val="5"/>
        </w:numPr>
        <w:ind w:right="0" w:hanging="360"/>
        <w:rPr/>
      </w:pPr>
      <w:r>
        <w:t xml:space="preserve">KIENGE-KIENGE (R.), </w:t>
      </w:r>
      <w:r>
        <w:rPr>
          <w:i/>
        </w:rPr>
        <w:t>Droit de la protection de l’enfant</w:t>
      </w:r>
      <w:r>
        <w:t xml:space="preserve">, Notes de cours à l’intention des étudiants de troisième graduat-option Droit privé et judiciaire, UNIKIN, 2018-2019. </w:t>
      </w:r>
    </w:p>
    <w:p w14:paraId="6D0A463A">
      <w:pPr>
        <w:pStyle w:val="style0"/>
        <w:numPr>
          <w:ilvl w:val="0"/>
          <w:numId w:val="5"/>
        </w:numPr>
        <w:ind w:right="0" w:hanging="360"/>
        <w:rPr/>
      </w:pPr>
      <w:r>
        <w:t xml:space="preserve">MUSHI BONANE (S.), </w:t>
      </w:r>
      <w:r>
        <w:rPr>
          <w:i/>
        </w:rPr>
        <w:t xml:space="preserve">Cours de Psychologie judiciaire, </w:t>
      </w:r>
      <w:r>
        <w:t xml:space="preserve">Faculté de Droit, UNIKIN, 2014-2015. </w:t>
      </w:r>
    </w:p>
    <w:p w14:paraId="3E350A71">
      <w:pPr>
        <w:pStyle w:val="style0"/>
        <w:numPr>
          <w:ilvl w:val="0"/>
          <w:numId w:val="5"/>
        </w:numPr>
        <w:ind w:right="0" w:hanging="360"/>
        <w:rPr/>
      </w:pPr>
      <w:r>
        <w:t xml:space="preserve">MWANZO IDIN’AMINYE (E.), </w:t>
      </w:r>
      <w:r>
        <w:rPr>
          <w:i/>
        </w:rPr>
        <w:t>Cours de méthodologie juridique</w:t>
      </w:r>
      <w:r>
        <w:t xml:space="preserve">, 2ième graduat droit, UNIKIN, 2017.  </w:t>
      </w:r>
    </w:p>
    <w:p w14:paraId="13DE7622">
      <w:pPr>
        <w:pStyle w:val="style1"/>
        <w:ind w:left="355"/>
        <w:rPr/>
      </w:pPr>
      <w:r>
        <w:t>D.</w:t>
      </w:r>
      <w:r>
        <w:rPr>
          <w:rFonts w:ascii="Arial" w:cs="Arial" w:eastAsia="Arial" w:hAnsi="Arial"/>
        </w:rPr>
        <w:t xml:space="preserve"> </w:t>
      </w:r>
      <w:r>
        <w:t xml:space="preserve">MEMOIRES ET THESES </w:t>
      </w:r>
    </w:p>
    <w:p w14:paraId="5866AB1A">
      <w:pPr>
        <w:pStyle w:val="style0"/>
        <w:numPr>
          <w:ilvl w:val="0"/>
          <w:numId w:val="6"/>
        </w:numPr>
        <w:spacing w:after="14"/>
        <w:ind w:right="0" w:hanging="360"/>
        <w:rPr/>
      </w:pPr>
      <w:r>
        <w:t xml:space="preserve">BONNAC (A.), </w:t>
      </w:r>
      <w:r>
        <w:rPr>
          <w:i/>
        </w:rPr>
        <w:t xml:space="preserve">Tarification du cyber-risque pour les collectivités locales : une modélisation inspirée par le modèle pandémique, </w:t>
      </w:r>
      <w:r>
        <w:t xml:space="preserve">Mémoire de Master, Institut de science financière et d’assurances, Lyon, 2020.  </w:t>
      </w:r>
    </w:p>
    <w:p w14:paraId="75BED97C">
      <w:pPr>
        <w:pStyle w:val="style0"/>
        <w:numPr>
          <w:ilvl w:val="0"/>
          <w:numId w:val="6"/>
        </w:numPr>
        <w:ind w:right="0" w:hanging="360"/>
        <w:rPr/>
      </w:pPr>
      <w:r>
        <w:t xml:space="preserve">BOOS (R.), </w:t>
      </w:r>
      <w:r>
        <w:rPr>
          <w:i/>
        </w:rPr>
        <w:t>La lutte contre la cybercriminalité au regard de l’action des Etats</w:t>
      </w:r>
      <w:r>
        <w:t xml:space="preserve">, Thèse de doctorat en Droit, Université de Lorraine, 2016. </w:t>
      </w:r>
    </w:p>
    <w:p w14:paraId="35AA7078">
      <w:pPr>
        <w:pStyle w:val="style0"/>
        <w:numPr>
          <w:ilvl w:val="0"/>
          <w:numId w:val="6"/>
        </w:numPr>
        <w:ind w:right="0" w:hanging="360"/>
        <w:rPr/>
      </w:pPr>
      <w:r>
        <w:t xml:space="preserve">KAYOMBO </w:t>
      </w:r>
      <w:r>
        <w:t>KAYOMBO</w:t>
      </w:r>
      <w:r>
        <w:t xml:space="preserve"> (F.), </w:t>
      </w:r>
      <w:r>
        <w:rPr>
          <w:i/>
        </w:rPr>
        <w:t>La protection de l’enfant dans le cyberespace : Portée et défis</w:t>
      </w:r>
      <w:r>
        <w:t xml:space="preserve">, Mémoire de DES/DEA, UNIKIN, Fac. Droit, 2019. </w:t>
      </w:r>
    </w:p>
    <w:p w14:paraId="66A98030">
      <w:pPr>
        <w:pStyle w:val="style0"/>
        <w:numPr>
          <w:ilvl w:val="0"/>
          <w:numId w:val="6"/>
        </w:numPr>
        <w:spacing w:after="14"/>
        <w:ind w:right="0" w:hanging="360"/>
        <w:rPr/>
      </w:pPr>
      <w:r>
        <w:t xml:space="preserve">MANASI N’KUSU KALEBA (R-B.), </w:t>
      </w:r>
      <w:r>
        <w:rPr>
          <w:i/>
        </w:rPr>
        <w:t>Etude critique du système congolais de répression de la cybercriminalité au regard du droit comparé,</w:t>
      </w:r>
      <w:r>
        <w:t xml:space="preserve"> Thèse de doctorat en droit, UNIKIN, 2012. </w:t>
      </w:r>
    </w:p>
    <w:p w14:paraId="0FA78E0D">
      <w:pPr>
        <w:pStyle w:val="style0"/>
        <w:numPr>
          <w:ilvl w:val="0"/>
          <w:numId w:val="6"/>
        </w:numPr>
        <w:ind w:right="0" w:hanging="360"/>
        <w:rPr/>
      </w:pPr>
      <w:r>
        <w:t xml:space="preserve">NLEND (C.), </w:t>
      </w:r>
      <w:r>
        <w:rPr>
          <w:i/>
        </w:rPr>
        <w:t xml:space="preserve">La protection du mineur dans le cyberespace, </w:t>
      </w:r>
      <w:r>
        <w:t xml:space="preserve">Thèse de doctorat, Faculté de Droit et de Sciences Politiques, Université de Picardie Jules Verne Amiens, 2007.  </w:t>
      </w:r>
    </w:p>
    <w:p w14:paraId="2A014FAE">
      <w:pPr>
        <w:pStyle w:val="style0"/>
        <w:numPr>
          <w:ilvl w:val="0"/>
          <w:numId w:val="6"/>
        </w:numPr>
        <w:spacing w:after="113" w:lineRule="auto" w:line="259"/>
        <w:ind w:right="0" w:hanging="360"/>
        <w:rPr/>
      </w:pPr>
      <w:r>
        <w:t xml:space="preserve">SHAKO EMAMBULU (E.), </w:t>
      </w:r>
      <w:r>
        <w:rPr>
          <w:i/>
        </w:rPr>
        <w:t xml:space="preserve">La gestion de la cybercriminalité par l’Officier du </w:t>
      </w:r>
    </w:p>
    <w:p w14:paraId="0F5AA094">
      <w:pPr>
        <w:pStyle w:val="style0"/>
        <w:spacing w:after="160" w:lineRule="auto" w:line="259"/>
        <w:ind w:left="1080" w:right="0" w:firstLine="0"/>
        <w:rPr/>
      </w:pPr>
      <w:r>
        <w:rPr>
          <w:i/>
        </w:rPr>
        <w:t>Ministère Public</w:t>
      </w:r>
      <w:r>
        <w:t xml:space="preserve">, Mémoire de DES/DEA en Droit pénal et criminologie, UNIKIN, </w:t>
      </w:r>
    </w:p>
    <w:p w14:paraId="22CF037E">
      <w:pPr>
        <w:pStyle w:val="style0"/>
        <w:spacing w:after="113" w:lineRule="auto" w:line="259"/>
        <w:ind w:left="1080" w:right="0" w:firstLine="0"/>
        <w:rPr/>
      </w:pPr>
      <w:r>
        <w:t xml:space="preserve">2022-2024.  </w:t>
      </w:r>
    </w:p>
    <w:p w14:paraId="7AC5B550">
      <w:pPr>
        <w:pStyle w:val="style0"/>
        <w:spacing w:after="167" w:lineRule="auto" w:line="259"/>
        <w:ind w:left="1080" w:right="0" w:firstLine="0"/>
        <w:jc w:val="left"/>
        <w:rPr/>
      </w:pPr>
      <w:r>
        <w:t xml:space="preserve"> </w:t>
      </w:r>
    </w:p>
    <w:p w14:paraId="0DC9B547">
      <w:pPr>
        <w:pStyle w:val="style0"/>
        <w:numPr>
          <w:ilvl w:val="0"/>
          <w:numId w:val="7"/>
        </w:numPr>
        <w:spacing w:after="171" w:lineRule="auto" w:line="259"/>
        <w:ind w:right="0" w:hanging="720"/>
        <w:jc w:val="left"/>
        <w:rPr/>
      </w:pPr>
      <w:r>
        <w:rPr>
          <w:b/>
        </w:rPr>
        <w:t xml:space="preserve">WEBOGRAPHIE </w:t>
      </w:r>
    </w:p>
    <w:p w14:paraId="0E3C17F9">
      <w:pPr>
        <w:pStyle w:val="style0"/>
        <w:numPr>
          <w:ilvl w:val="1"/>
          <w:numId w:val="7"/>
        </w:numPr>
        <w:ind w:right="0" w:hanging="360"/>
        <w:jc w:val="left"/>
        <w:rPr/>
      </w:pPr>
      <w:r>
        <w:t xml:space="preserve">Centre canadien de la statistique juridique. Disponible sur </w:t>
      </w:r>
      <w:r>
        <w:rPr/>
        <w:fldChar w:fldCharType="begin"/>
      </w:r>
      <w:r>
        <w:instrText xml:space="preserve"> HYPERLINK "http://collection.nlc-bnc.ca/" </w:instrText>
      </w:r>
      <w:r>
        <w:rPr/>
        <w:fldChar w:fldCharType="separate"/>
      </w:r>
      <w:r>
        <w:rPr>
          <w:u w:val="single" w:color="000000"/>
        </w:rPr>
        <w:t>http://collection.nlc</w:t>
      </w:r>
      <w:r>
        <w:rPr/>
        <w:fldChar w:fldCharType="end"/>
      </w:r>
      <w:r>
        <w:rPr/>
        <w:fldChar w:fldCharType="begin"/>
      </w:r>
      <w:r>
        <w:instrText xml:space="preserve"> HYPERLINK "http://collection.nlc-bnc.ca/" </w:instrText>
      </w:r>
      <w:r>
        <w:rPr/>
        <w:fldChar w:fldCharType="separate"/>
      </w:r>
      <w:r>
        <w:rPr/>
        <w:fldChar w:fldCharType="end"/>
      </w:r>
      <w:r>
        <w:rPr/>
        <w:fldChar w:fldCharType="begin"/>
      </w:r>
      <w:r>
        <w:instrText xml:space="preserve"> HYPERLINK "http://collection.nlc-bnc.ca/" </w:instrText>
      </w:r>
      <w:r>
        <w:rPr/>
        <w:fldChar w:fldCharType="separate"/>
      </w:r>
      <w:r>
        <w:rPr>
          <w:u w:val="single" w:color="000000"/>
        </w:rPr>
        <w:t>bnc.ca/</w:t>
      </w:r>
      <w:r>
        <w:rPr/>
        <w:fldChar w:fldCharType="end"/>
      </w:r>
      <w:r>
        <w:rPr/>
        <w:fldChar w:fldCharType="begin"/>
      </w:r>
      <w:r>
        <w:instrText xml:space="preserve"> HYPERLINK "http://collection.nlc-bnc.ca/" </w:instrText>
      </w:r>
      <w:r>
        <w:rPr/>
        <w:fldChar w:fldCharType="separate"/>
      </w:r>
      <w:r>
        <w:rPr>
          <w:i/>
        </w:rPr>
        <w:t xml:space="preserve"> </w:t>
      </w:r>
      <w:r>
        <w:rPr/>
        <w:fldChar w:fldCharType="end"/>
      </w:r>
    </w:p>
    <w:p w14:paraId="32706142">
      <w:pPr>
        <w:pStyle w:val="style0"/>
        <w:numPr>
          <w:ilvl w:val="1"/>
          <w:numId w:val="7"/>
        </w:numPr>
        <w:spacing w:after="163" w:lineRule="auto" w:line="259"/>
        <w:ind w:right="0" w:hanging="360"/>
        <w:jc w:val="left"/>
        <w:rPr/>
      </w:pPr>
      <w:r>
        <w:rPr/>
        <w:fldChar w:fldCharType="begin"/>
      </w:r>
      <w:r>
        <w:instrText xml:space="preserve"> HYPERLINK "http://id.erudit.org/iderudit/013126ar" </w:instrText>
      </w:r>
      <w:r>
        <w:rPr/>
        <w:fldChar w:fldCharType="separate"/>
      </w:r>
      <w:r>
        <w:rPr>
          <w:u w:val="single" w:color="000000"/>
        </w:rPr>
        <w:t>http://id.erudit.org/iderudit/013126ar</w:t>
      </w:r>
      <w:r>
        <w:rPr/>
        <w:fldChar w:fldCharType="end"/>
      </w:r>
      <w:r>
        <w:rPr/>
        <w:fldChar w:fldCharType="begin"/>
      </w:r>
      <w:r>
        <w:instrText xml:space="preserve"> HYPERLINK "http://id.erudit.org/iderudit/013126ar" </w:instrText>
      </w:r>
      <w:r>
        <w:rPr/>
        <w:fldChar w:fldCharType="separate"/>
      </w:r>
      <w:r>
        <w:rPr>
          <w:i/>
        </w:rPr>
        <w:t xml:space="preserve"> </w:t>
      </w:r>
      <w:r>
        <w:rPr/>
        <w:fldChar w:fldCharType="end"/>
      </w:r>
    </w:p>
    <w:p w14:paraId="1C4FE47D">
      <w:pPr>
        <w:pStyle w:val="style0"/>
        <w:numPr>
          <w:ilvl w:val="1"/>
          <w:numId w:val="7"/>
        </w:numPr>
        <w:spacing w:after="163" w:lineRule="auto" w:line="259"/>
        <w:ind w:right="0" w:hanging="360"/>
        <w:jc w:val="left"/>
        <w:rPr/>
      </w:pPr>
      <w:r>
        <w:rPr/>
        <w:fldChar w:fldCharType="begin"/>
      </w:r>
      <w:r>
        <w:instrText xml:space="preserve"> HYPERLINK "http://journals.openedition.org/add" </w:instrText>
      </w:r>
      <w:r>
        <w:rPr/>
        <w:fldChar w:fldCharType="separate"/>
      </w:r>
      <w:r>
        <w:rPr>
          <w:u w:val="single" w:color="000000"/>
        </w:rPr>
        <w:t>http://journals.openedition.org/add</w:t>
      </w:r>
      <w:r>
        <w:rPr/>
        <w:fldChar w:fldCharType="end"/>
      </w:r>
      <w:r>
        <w:rPr/>
        <w:fldChar w:fldCharType="begin"/>
      </w:r>
      <w:r>
        <w:instrText xml:space="preserve"> HYPERLINK "http://journals.openedition.org/add" </w:instrText>
      </w:r>
      <w:r>
        <w:rPr/>
        <w:fldChar w:fldCharType="separate"/>
      </w:r>
      <w:r>
        <w:t xml:space="preserve"> </w:t>
      </w:r>
      <w:r>
        <w:rPr/>
        <w:fldChar w:fldCharType="end"/>
      </w:r>
      <w:r>
        <w:t xml:space="preserve"> </w:t>
      </w:r>
      <w:r>
        <w:rPr>
          <w:i/>
        </w:rPr>
        <w:t xml:space="preserve"> </w:t>
      </w:r>
    </w:p>
    <w:p w14:paraId="3FFD5C23">
      <w:pPr>
        <w:pStyle w:val="style0"/>
        <w:numPr>
          <w:ilvl w:val="1"/>
          <w:numId w:val="7"/>
        </w:numPr>
        <w:spacing w:after="163" w:lineRule="auto" w:line="259"/>
        <w:ind w:right="0" w:hanging="360"/>
        <w:jc w:val="left"/>
        <w:rPr/>
      </w:pPr>
      <w:r>
        <w:rPr/>
        <w:fldChar w:fldCharType="begin"/>
      </w:r>
      <w:r>
        <w:instrText xml:space="preserve"> HYPERLINK "http://www.lepotentiel.com/" </w:instrText>
      </w:r>
      <w:r>
        <w:rPr/>
        <w:fldChar w:fldCharType="separate"/>
      </w:r>
      <w:r>
        <w:rPr>
          <w:u w:val="single" w:color="000000"/>
        </w:rPr>
        <w:t>http://www.lepotentiel.com</w:t>
      </w:r>
      <w:r>
        <w:rPr/>
        <w:fldChar w:fldCharType="end"/>
      </w:r>
      <w:r>
        <w:rPr/>
        <w:fldChar w:fldCharType="begin"/>
      </w:r>
      <w:r>
        <w:instrText xml:space="preserve"> HYPERLINK "http://www.lepotentiel.com/" </w:instrText>
      </w:r>
      <w:r>
        <w:rPr/>
        <w:fldChar w:fldCharType="separate"/>
      </w:r>
      <w:r>
        <w:rPr>
          <w:i/>
        </w:rPr>
        <w:t xml:space="preserve"> </w:t>
      </w:r>
      <w:r>
        <w:rPr/>
        <w:fldChar w:fldCharType="end"/>
      </w:r>
    </w:p>
    <w:p w14:paraId="75C4848D">
      <w:pPr>
        <w:pStyle w:val="style0"/>
        <w:numPr>
          <w:ilvl w:val="1"/>
          <w:numId w:val="7"/>
        </w:numPr>
        <w:spacing w:after="163" w:lineRule="auto" w:line="259"/>
        <w:ind w:right="0" w:hanging="360"/>
        <w:jc w:val="left"/>
        <w:rPr/>
      </w:pPr>
      <w:r>
        <w:rPr/>
        <w:fldChar w:fldCharType="begin"/>
      </w:r>
      <w:r>
        <w:instrText xml:space="preserve"> HYPERLINK "http://www.uncjin.org/" </w:instrText>
      </w:r>
      <w:r>
        <w:rPr/>
        <w:fldChar w:fldCharType="separate"/>
      </w:r>
      <w:r>
        <w:rPr>
          <w:u w:val="single" w:color="000000"/>
        </w:rPr>
        <w:t>http://www.uncjin.org/</w:t>
      </w:r>
      <w:r>
        <w:rPr/>
        <w:fldChar w:fldCharType="end"/>
      </w:r>
      <w:r>
        <w:rPr/>
        <w:fldChar w:fldCharType="begin"/>
      </w:r>
      <w:r>
        <w:instrText xml:space="preserve"> HYPERLINK "http://www.uncjin.org/" </w:instrText>
      </w:r>
      <w:r>
        <w:rPr/>
        <w:fldChar w:fldCharType="separate"/>
      </w:r>
      <w:r>
        <w:rPr>
          <w:i/>
        </w:rPr>
        <w:t xml:space="preserve"> </w:t>
      </w:r>
      <w:r>
        <w:rPr/>
        <w:fldChar w:fldCharType="end"/>
      </w:r>
    </w:p>
    <w:p w14:paraId="0F1E0D43">
      <w:pPr>
        <w:pStyle w:val="style0"/>
        <w:numPr>
          <w:ilvl w:val="1"/>
          <w:numId w:val="7"/>
        </w:numPr>
        <w:spacing w:after="163" w:lineRule="auto" w:line="397"/>
        <w:ind w:right="0" w:hanging="360"/>
        <w:jc w:val="left"/>
        <w:rPr/>
      </w:pP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https://7sur7.cd/index.php/2020/05/19/dc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cybercriminalite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bollore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transport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logistics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victime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dune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intrusion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informatique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-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rPr>
          <w:u w:val="single" w:color="000000"/>
        </w:rPr>
        <w:t>sur</w:t>
      </w:r>
      <w:r>
        <w:rPr/>
        <w:fldChar w:fldCharType="end"/>
      </w:r>
      <w:r>
        <w:rPr/>
        <w:fldChar w:fldCharType="begin"/>
      </w:r>
      <w:r>
        <w:instrText xml:space="preserve"> HYPERLINK "https://7sur7.cd/index.php/2020/05/19/dc-cybercriminalite-bollore-transport-logistics-victime-dune-intrusion-informatique-sur" </w:instrText>
      </w:r>
      <w:r>
        <w:rPr/>
        <w:fldChar w:fldCharType="separate"/>
      </w:r>
      <w:r>
        <w:t xml:space="preserve"> </w:t>
      </w:r>
      <w:r>
        <w:rPr/>
        <w:fldChar w:fldCharType="end"/>
      </w:r>
      <w:r>
        <w:rPr>
          <w:i/>
        </w:rPr>
        <w:t xml:space="preserve"> </w:t>
      </w:r>
    </w:p>
    <w:p w14:paraId="0EEF765F">
      <w:pPr>
        <w:pStyle w:val="style0"/>
        <w:spacing w:after="168" w:lineRule="auto" w:line="259"/>
        <w:ind w:left="1440" w:right="0" w:firstLine="0"/>
        <w:jc w:val="left"/>
        <w:rPr/>
      </w:pPr>
      <w:r>
        <w:rPr>
          <w:i/>
        </w:rPr>
        <w:t xml:space="preserve"> </w:t>
      </w:r>
    </w:p>
    <w:p w14:paraId="139CC260">
      <w:pPr>
        <w:pStyle w:val="style0"/>
        <w:numPr>
          <w:ilvl w:val="0"/>
          <w:numId w:val="7"/>
        </w:numPr>
        <w:spacing w:after="171" w:lineRule="auto" w:line="259"/>
        <w:ind w:right="0" w:hanging="720"/>
        <w:jc w:val="left"/>
        <w:rPr/>
      </w:pPr>
      <w:r>
        <w:rPr>
          <w:b/>
        </w:rPr>
        <w:t xml:space="preserve">AUTRES CONTRIBUTIONS </w:t>
      </w:r>
    </w:p>
    <w:p w14:paraId="7FD9A8A0">
      <w:pPr>
        <w:pStyle w:val="style0"/>
        <w:numPr>
          <w:ilvl w:val="2"/>
          <w:numId w:val="8"/>
        </w:numPr>
        <w:spacing w:after="14"/>
        <w:ind w:right="0" w:hanging="360"/>
        <w:rPr/>
      </w:pPr>
      <w:r>
        <w:t xml:space="preserve">Agence pour le Développement du Numérique, </w:t>
      </w:r>
      <w:r>
        <w:rPr>
          <w:i/>
        </w:rPr>
        <w:t>2è Rapport sur l’évaluation de la mise en œuvre du Plan Nation du Numérique « Horizon 2025 »</w:t>
      </w:r>
      <w:r>
        <w:t xml:space="preserve">, 2023-2024. </w:t>
      </w:r>
    </w:p>
    <w:p w14:paraId="5C26F477">
      <w:pPr>
        <w:pStyle w:val="style0"/>
        <w:numPr>
          <w:ilvl w:val="2"/>
          <w:numId w:val="8"/>
        </w:numPr>
        <w:spacing w:after="14"/>
        <w:ind w:right="0" w:hanging="360"/>
        <w:rPr/>
      </w:pPr>
      <w:r>
        <w:t xml:space="preserve">Centre Franco, </w:t>
      </w:r>
      <w:r>
        <w:rPr>
          <w:i/>
        </w:rPr>
        <w:t xml:space="preserve">La </w:t>
      </w:r>
      <w:r>
        <w:rPr>
          <w:i/>
        </w:rPr>
        <w:t>cybersécurité</w:t>
      </w:r>
      <w:r>
        <w:rPr>
          <w:i/>
        </w:rPr>
        <w:t xml:space="preserve"> pour les élèves d’âge scolaire</w:t>
      </w:r>
      <w:r>
        <w:t>.</w:t>
      </w:r>
      <w:r>
        <w:rPr>
          <w:i/>
        </w:rPr>
        <w:t xml:space="preserve"> Un guide à l’intention des parents</w:t>
      </w:r>
      <w:r>
        <w:t xml:space="preserve">, Ontario. </w:t>
      </w:r>
    </w:p>
    <w:p w14:paraId="5D7D5A1C">
      <w:pPr>
        <w:pStyle w:val="style0"/>
        <w:numPr>
          <w:ilvl w:val="2"/>
          <w:numId w:val="8"/>
        </w:numPr>
        <w:ind w:right="0" w:hanging="360"/>
        <w:rPr/>
      </w:pPr>
      <w:r>
        <w:t xml:space="preserve">Club de la sécurité de l’information français, « Référentiel des logs. Journalisation », </w:t>
      </w:r>
      <w:r>
        <w:rPr>
          <w:i/>
        </w:rPr>
        <w:t>In Les Dossiers techniques</w:t>
      </w:r>
      <w:r>
        <w:t xml:space="preserve">, Septembre 2021, Disponible sur </w:t>
      </w:r>
      <w:r>
        <w:rPr/>
        <w:fldChar w:fldCharType="begin"/>
      </w:r>
      <w:r>
        <w:instrText xml:space="preserve"> HYPERLINK "http://www.clusif.fr/" </w:instrText>
      </w:r>
      <w:r>
        <w:rPr/>
        <w:fldChar w:fldCharType="separate"/>
      </w:r>
      <w:r>
        <w:rPr>
          <w:u w:val="single" w:color="000000"/>
        </w:rPr>
        <w:t>www.clusif.fr</w:t>
      </w:r>
      <w:r>
        <w:rPr/>
        <w:fldChar w:fldCharType="end"/>
      </w:r>
      <w:r>
        <w:rPr/>
        <w:fldChar w:fldCharType="begin"/>
      </w:r>
      <w:r>
        <w:instrText xml:space="preserve"> HYPERLINK "http://www.clusif.fr/" </w:instrText>
      </w:r>
      <w:r>
        <w:rPr/>
        <w:fldChar w:fldCharType="separate"/>
      </w:r>
      <w:r>
        <w:t xml:space="preserve"> </w:t>
      </w:r>
      <w:r>
        <w:rPr/>
        <w:fldChar w:fldCharType="end"/>
      </w:r>
      <w:r>
        <w:t xml:space="preserve"> </w:t>
      </w:r>
    </w:p>
    <w:p w14:paraId="2CF6DF0E">
      <w:pPr>
        <w:pStyle w:val="style0"/>
        <w:numPr>
          <w:ilvl w:val="2"/>
          <w:numId w:val="8"/>
        </w:numPr>
        <w:spacing w:after="14"/>
        <w:ind w:right="0" w:hanging="360"/>
        <w:rPr/>
      </w:pPr>
      <w:r>
        <w:t xml:space="preserve">Commission Technique pour la </w:t>
      </w:r>
      <w:r>
        <w:t>Cybersécurité</w:t>
      </w:r>
      <w:r>
        <w:t xml:space="preserve"> (CTC), </w:t>
      </w:r>
      <w:r>
        <w:rPr>
          <w:i/>
        </w:rPr>
        <w:t xml:space="preserve">Stratégie nationale de </w:t>
      </w:r>
      <w:r>
        <w:rPr>
          <w:i/>
        </w:rPr>
        <w:t>cybersécurité</w:t>
      </w:r>
      <w:r>
        <w:rPr>
          <w:i/>
        </w:rPr>
        <w:t xml:space="preserve"> de la République Démocratique du Congo 2022-2025</w:t>
      </w:r>
      <w:r>
        <w:t xml:space="preserve">, </w:t>
      </w:r>
    </w:p>
    <w:p w14:paraId="15D7F1BB">
      <w:pPr>
        <w:pStyle w:val="style0"/>
        <w:spacing w:after="162" w:lineRule="auto" w:line="259"/>
        <w:ind w:left="1440" w:right="0" w:firstLine="0"/>
        <w:rPr/>
      </w:pPr>
      <w:r>
        <w:t>Présidenc.cd</w:t>
      </w:r>
      <w:r>
        <w:t xml:space="preserve">, Kinshasa, Juillet 2022. </w:t>
      </w:r>
    </w:p>
    <w:p w14:paraId="18615E04">
      <w:pPr>
        <w:pStyle w:val="style0"/>
        <w:numPr>
          <w:ilvl w:val="2"/>
          <w:numId w:val="8"/>
        </w:numPr>
        <w:spacing w:after="14"/>
        <w:ind w:right="0" w:hanging="360"/>
        <w:rPr/>
      </w:pPr>
      <w:r>
        <w:t xml:space="preserve">ECNO, </w:t>
      </w:r>
      <w:r>
        <w:rPr>
          <w:i/>
        </w:rPr>
        <w:t>Sécurité des systèmes</w:t>
      </w:r>
      <w:r>
        <w:t xml:space="preserve">, </w:t>
      </w:r>
      <w:r>
        <w:rPr>
          <w:i/>
        </w:rPr>
        <w:t>La « cyber vigilance » dans les conseils scolaires de l’Ontario : Création d’une culture</w:t>
      </w:r>
      <w:r>
        <w:t xml:space="preserve">, Ontario, Août 2025.  </w:t>
      </w:r>
    </w:p>
    <w:p w14:paraId="6A607314">
      <w:pPr>
        <w:pStyle w:val="style0"/>
        <w:numPr>
          <w:ilvl w:val="2"/>
          <w:numId w:val="8"/>
        </w:numPr>
        <w:ind w:right="0" w:hanging="360"/>
        <w:rPr/>
      </w:pPr>
      <w:r>
        <w:t xml:space="preserve">Ministère de la Justice et Garde des Sceaux, « Communiqué de presse », Kinshasa, 15 mai 2020. </w:t>
      </w:r>
    </w:p>
    <w:p w14:paraId="112BA5E1">
      <w:pPr>
        <w:pStyle w:val="style0"/>
        <w:numPr>
          <w:ilvl w:val="2"/>
          <w:numId w:val="8"/>
        </w:numPr>
        <w:spacing w:after="165" w:lineRule="auto" w:line="259"/>
        <w:ind w:right="0" w:hanging="360"/>
        <w:rPr/>
      </w:pPr>
      <w:r>
        <w:t xml:space="preserve">OIF, </w:t>
      </w:r>
      <w:r>
        <w:rPr>
          <w:i/>
        </w:rPr>
        <w:t xml:space="preserve">Guide pratique de la </w:t>
      </w:r>
      <w:r>
        <w:rPr>
          <w:i/>
        </w:rPr>
        <w:t>cybersécurité</w:t>
      </w:r>
      <w:r>
        <w:rPr>
          <w:i/>
        </w:rPr>
        <w:t xml:space="preserve"> et de la cyberdéfense</w:t>
      </w:r>
      <w:r>
        <w:t xml:space="preserve"> </w:t>
      </w:r>
    </w:p>
    <w:p w14:paraId="52875386">
      <w:pPr>
        <w:pStyle w:val="style0"/>
        <w:numPr>
          <w:ilvl w:val="2"/>
          <w:numId w:val="8"/>
        </w:numPr>
        <w:spacing w:after="123"/>
        <w:ind w:right="0" w:hanging="360"/>
        <w:rPr/>
      </w:pPr>
      <w:r>
        <w:t xml:space="preserve">Union internationale des télécommunications, </w:t>
      </w:r>
      <w:r>
        <w:rPr>
          <w:i/>
        </w:rPr>
        <w:t>Comprendre la cybercriminalité : guide pour les pays en développement</w:t>
      </w:r>
      <w:r>
        <w:t xml:space="preserve">, avril 2009. </w:t>
      </w:r>
    </w:p>
    <w:p w14:paraId="2C9C0AA8">
      <w:pPr>
        <w:pStyle w:val="style0"/>
        <w:spacing w:after="259" w:lineRule="auto" w:line="259"/>
        <w:ind w:left="0" w:right="0" w:firstLine="0"/>
        <w:jc w:val="left"/>
        <w:rPr/>
      </w:pPr>
      <w:r>
        <w:t xml:space="preserve"> </w:t>
      </w:r>
    </w:p>
    <w:p w14:paraId="795193BD">
      <w:pPr>
        <w:pStyle w:val="style0"/>
        <w:spacing w:after="0" w:lineRule="auto" w:line="259"/>
        <w:ind w:left="0" w:right="0" w:firstLine="0"/>
        <w:jc w:val="left"/>
        <w:rPr/>
      </w:pPr>
      <w:r>
        <w:rPr>
          <w:rFonts w:ascii="Calibri" w:cs="Calibri" w:eastAsia="Calibri" w:hAnsi="Calibri"/>
          <w:sz w:val="22"/>
        </w:rPr>
        <w:t xml:space="preserve"> </w:t>
      </w:r>
    </w:p>
    <w:sectPr>
      <w:headerReference w:type="even" r:id="rId2"/>
      <w:headerReference w:type="default" r:id="rId3"/>
      <w:headerReference w:type="first" r:id="rId4"/>
      <w:pgSz w:w="11906" w:h="16838" w:orient="portrait"/>
      <w:pgMar w:top="1426" w:right="1414" w:bottom="1484" w:left="1416" w:header="751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Aptos">
    <w:altName w:val=""/>
    <w:panose1 w:val="02110004020002020204"/>
    <w:charset w:val="00"/>
    <w:family w:val="auto"/>
    <w:pitch w:val="default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48E10163">
    <w:pPr>
      <w:pStyle w:val="style0"/>
      <w:spacing w:after="0" w:lineRule="auto" w:line="259"/>
      <w:ind w:left="0" w:right="1" w:firstLine="0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Calibri" w:cs="Calibri" w:eastAsia="Calibri" w:hAnsi="Calibri"/>
        <w:sz w:val="22"/>
      </w:rPr>
      <w:t>2</w:t>
    </w:r>
    <w:r>
      <w:rPr>
        <w:rFonts w:ascii="Calibri" w:cs="Calibri" w:eastAsia="Calibri" w:hAnsi="Calibri"/>
        <w:sz w:val="22"/>
      </w:rPr>
      <w:fldChar w:fldCharType="end"/>
    </w:r>
    <w:r>
      <w:rPr>
        <w:rFonts w:ascii="Calibri" w:cs="Calibri" w:eastAsia="Calibri" w:hAnsi="Calibri"/>
        <w:sz w:val="22"/>
      </w:rPr>
      <w:t xml:space="preserve"> </w:t>
    </w:r>
  </w:p>
  <w:p w14:paraId="7AFF20F5">
    <w:pPr>
      <w:pStyle w:val="style0"/>
      <w:spacing w:after="163" w:lineRule="auto" w:line="259"/>
      <w:ind w:left="0" w:right="0" w:firstLine="0"/>
      <w:jc w:val="left"/>
      <w:rPr/>
    </w:pPr>
    <w:r>
      <w:rPr>
        <w:rFonts w:ascii="Calibri" w:cs="Calibri" w:eastAsia="Calibri" w:hAnsi="Calibri"/>
        <w:sz w:val="22"/>
      </w:rPr>
      <w:t xml:space="preserve"> </w:t>
    </w:r>
  </w:p>
  <w:p w14:paraId="28A049B9">
    <w:pPr>
      <w:pStyle w:val="style0"/>
      <w:spacing w:after="0" w:lineRule="auto" w:line="259"/>
      <w:ind w:left="900" w:right="0" w:firstLine="0"/>
      <w:jc w:val="left"/>
      <w:rPr/>
    </w:pPr>
    <w:r>
      <w:rPr>
        <w:rFonts w:ascii="Arial" w:cs="Arial" w:eastAsia="Arial" w:hAnsi="Arial"/>
      </w:rPr>
      <w:t xml:space="preserve"> </w: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C26920A">
    <w:pPr>
      <w:pStyle w:val="style0"/>
      <w:spacing w:after="0" w:lineRule="auto" w:line="259"/>
      <w:ind w:left="0" w:right="1" w:firstLine="0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Calibri" w:cs="Calibri" w:eastAsia="Calibri" w:hAnsi="Calibri"/>
        <w:sz w:val="22"/>
      </w:rPr>
      <w:t>2</w:t>
    </w:r>
    <w:r>
      <w:rPr>
        <w:rFonts w:ascii="Calibri" w:cs="Calibri" w:eastAsia="Calibri" w:hAnsi="Calibri"/>
        <w:sz w:val="22"/>
      </w:rPr>
      <w:fldChar w:fldCharType="end"/>
    </w:r>
    <w:r>
      <w:rPr>
        <w:rFonts w:ascii="Calibri" w:cs="Calibri" w:eastAsia="Calibri" w:hAnsi="Calibri"/>
        <w:sz w:val="22"/>
      </w:rPr>
      <w:t xml:space="preserve"> </w:t>
    </w:r>
  </w:p>
  <w:p w14:paraId="5EBD5D07">
    <w:pPr>
      <w:pStyle w:val="style0"/>
      <w:spacing w:after="163" w:lineRule="auto" w:line="259"/>
      <w:ind w:left="0" w:right="0" w:firstLine="0"/>
      <w:jc w:val="left"/>
      <w:rPr/>
    </w:pPr>
    <w:r>
      <w:rPr>
        <w:rFonts w:ascii="Calibri" w:cs="Calibri" w:eastAsia="Calibri" w:hAnsi="Calibri"/>
        <w:sz w:val="22"/>
      </w:rPr>
      <w:t xml:space="preserve"> </w:t>
    </w:r>
  </w:p>
  <w:p w14:paraId="21A6B5C1">
    <w:pPr>
      <w:pStyle w:val="style0"/>
      <w:spacing w:after="0" w:lineRule="auto" w:line="259"/>
      <w:ind w:left="900" w:right="0" w:firstLine="0"/>
      <w:jc w:val="left"/>
      <w:rPr/>
    </w:pPr>
    <w:r>
      <w:rPr>
        <w:rFonts w:ascii="Arial" w:cs="Arial" w:eastAsia="Arial" w:hAnsi="Arial"/>
      </w:rPr>
      <w:t xml:space="preserve"> </w: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2AEC387">
    <w:pPr>
      <w:pStyle w:val="style0"/>
      <w:spacing w:after="0" w:lineRule="auto" w:line="259"/>
      <w:ind w:left="0" w:right="1" w:firstLine="0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rFonts w:ascii="Calibri" w:cs="Calibri" w:eastAsia="Calibri" w:hAnsi="Calibri"/>
        <w:sz w:val="22"/>
      </w:rPr>
      <w:t>1</w:t>
    </w:r>
    <w:r>
      <w:rPr>
        <w:rFonts w:ascii="Calibri" w:cs="Calibri" w:eastAsia="Calibri" w:hAnsi="Calibri"/>
        <w:sz w:val="22"/>
      </w:rPr>
      <w:fldChar w:fldCharType="end"/>
    </w:r>
    <w:r>
      <w:rPr>
        <w:rFonts w:ascii="Calibri" w:cs="Calibri" w:eastAsia="Calibri" w:hAnsi="Calibri"/>
        <w:sz w:val="22"/>
      </w:rPr>
      <w:t xml:space="preserve"> </w:t>
    </w:r>
  </w:p>
  <w:p w14:paraId="758FD9BF">
    <w:pPr>
      <w:pStyle w:val="style0"/>
      <w:spacing w:after="0" w:lineRule="auto" w:line="259"/>
      <w:ind w:left="0" w:right="0" w:firstLine="0"/>
      <w:jc w:val="left"/>
      <w:rPr/>
    </w:pPr>
    <w:r>
      <w:rPr>
        <w:rFonts w:ascii="Calibri" w:cs="Calibri" w:eastAsia="Calibri" w:hAnsi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plc="BD227972">
      <w:start w:val="1"/>
      <w:numFmt w:val="decimal"/>
      <w:lvlText w:val="%1."/>
      <w:lvlJc w:val="left"/>
      <w:pPr>
        <w:ind w:left="10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9ADB44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0A3F4E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7EF62A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14F648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EA71A0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2EEB32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CD288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2ADE4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FFFFFFF"/>
    <w:lvl w:ilvl="0" w:tplc="953EF6D0">
      <w:start w:val="1"/>
      <w:numFmt w:val="decimal"/>
      <w:lvlText w:val="%1."/>
      <w:lvlJc w:val="left"/>
      <w:pPr>
        <w:ind w:left="10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789752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ECA72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F06C2E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5677A4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02364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945488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A60DFA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6277D2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FFFFFFFF"/>
    <w:lvl w:ilvl="0" w:tplc="9BC2E986">
      <w:start w:val="1"/>
      <w:numFmt w:val="decimal"/>
      <w:lvlText w:val="%1"/>
      <w:lvlJc w:val="left"/>
      <w:pPr>
        <w:ind w:left="3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862FFE">
      <w:start w:val="1"/>
      <w:numFmt w:val="lowerLetter"/>
      <w:lvlText w:val="%2"/>
      <w:lvlJc w:val="left"/>
      <w:pPr>
        <w:ind w:left="9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A987C">
      <w:start w:val="1"/>
      <w:numFmt w:val="decimal"/>
      <w:lvlText w:val="%3.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740790">
      <w:start w:val="1"/>
      <w:numFmt w:val="decimal"/>
      <w:lvlText w:val="%4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24A71C">
      <w:start w:val="1"/>
      <w:numFmt w:val="lowerLetter"/>
      <w:lvlText w:val="%5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18A720">
      <w:start w:val="1"/>
      <w:numFmt w:val="lowerRoman"/>
      <w:lvlText w:val="%6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CC33C4">
      <w:start w:val="1"/>
      <w:numFmt w:val="decimal"/>
      <w:lvlText w:val="%7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8BB02">
      <w:start w:val="1"/>
      <w:numFmt w:val="lowerLetter"/>
      <w:lvlText w:val="%8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E8918E">
      <w:start w:val="1"/>
      <w:numFmt w:val="lowerRoman"/>
      <w:lvlText w:val="%9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FFFFFFFF"/>
    <w:lvl w:ilvl="0" w:tplc="9490D08E">
      <w:start w:val="1"/>
      <w:numFmt w:val="decimal"/>
      <w:lvlText w:val="%1."/>
      <w:lvlJc w:val="left"/>
      <w:pPr>
        <w:ind w:left="7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6E0724">
      <w:start w:val="1"/>
      <w:numFmt w:val="lowerLetter"/>
      <w:lvlText w:val="%2"/>
      <w:lvlJc w:val="left"/>
      <w:pPr>
        <w:ind w:left="10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727D32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E751A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6AA9E2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368752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69E3E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6E45E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5AF432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00000004"/>
    <w:multiLevelType w:val="hybridMultilevel"/>
    <w:tmpl w:val="FFFFFFFF"/>
    <w:lvl w:ilvl="0" w:tplc="544C46EE">
      <w:start w:val="1"/>
      <w:numFmt w:val="decimal"/>
      <w:lvlText w:val="%1."/>
      <w:lvlJc w:val="left"/>
      <w:pPr>
        <w:ind w:left="10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AEC6E0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0C563A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FC0D9C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8ABA7C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486110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C85B78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CFF56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40082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0000005"/>
    <w:multiLevelType w:val="hybridMultilevel"/>
    <w:tmpl w:val="FFFFFFFF"/>
    <w:lvl w:ilvl="0" w:tplc="11F09C3C">
      <w:start w:val="1"/>
      <w:numFmt w:val="decimal"/>
      <w:lvlText w:val="%1."/>
      <w:lvlJc w:val="left"/>
      <w:pPr>
        <w:ind w:left="10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BAB06E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ACFABA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9EBCEE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8F4C6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E7CD6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2A624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04BA14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5AD220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FFFFFFFF"/>
    <w:lvl w:ilvl="0" w:tplc="827A1A78">
      <w:start w:val="1"/>
      <w:numFmt w:val="decimal"/>
      <w:lvlText w:val="%1."/>
      <w:lvlJc w:val="left"/>
      <w:pPr>
        <w:ind w:left="1065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921BA2">
      <w:start w:val="1"/>
      <w:numFmt w:val="lowerLetter"/>
      <w:lvlText w:val="%2"/>
      <w:lvlJc w:val="left"/>
      <w:pPr>
        <w:ind w:left="14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423146">
      <w:start w:val="1"/>
      <w:numFmt w:val="lowerRoman"/>
      <w:lvlText w:val="%3"/>
      <w:lvlJc w:val="left"/>
      <w:pPr>
        <w:ind w:left="21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101206">
      <w:start w:val="1"/>
      <w:numFmt w:val="decimal"/>
      <w:lvlText w:val="%4"/>
      <w:lvlJc w:val="left"/>
      <w:pPr>
        <w:ind w:left="28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7431DC">
      <w:start w:val="1"/>
      <w:numFmt w:val="lowerLetter"/>
      <w:lvlText w:val="%5"/>
      <w:lvlJc w:val="left"/>
      <w:pPr>
        <w:ind w:left="360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0EE5AA">
      <w:start w:val="1"/>
      <w:numFmt w:val="lowerRoman"/>
      <w:lvlText w:val="%6"/>
      <w:lvlJc w:val="left"/>
      <w:pPr>
        <w:ind w:left="432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C5D36">
      <w:start w:val="1"/>
      <w:numFmt w:val="decimal"/>
      <w:lvlText w:val="%7"/>
      <w:lvlJc w:val="left"/>
      <w:pPr>
        <w:ind w:left="504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CFF36">
      <w:start w:val="1"/>
      <w:numFmt w:val="lowerLetter"/>
      <w:lvlText w:val="%8"/>
      <w:lvlJc w:val="left"/>
      <w:pPr>
        <w:ind w:left="576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14F20C">
      <w:start w:val="1"/>
      <w:numFmt w:val="lowerRoman"/>
      <w:lvlText w:val="%9"/>
      <w:lvlJc w:val="left"/>
      <w:pPr>
        <w:ind w:left="648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FFFFFFFF"/>
    <w:lvl w:ilvl="0" w:tplc="923CAB14">
      <w:start w:val="3"/>
      <w:numFmt w:val="upperRoman"/>
      <w:lvlText w:val="%1."/>
      <w:lvlJc w:val="left"/>
      <w:pPr>
        <w:ind w:left="1065"/>
      </w:pPr>
      <w:rPr>
        <w:rFonts w:ascii="Times New Roman" w:cs="Times New Roman" w:eastAsia="Times New Roman" w:hAnsi="Times New Roman"/>
        <w:b/>
        <w:bCs/>
        <w:i w:val="false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4A1C2">
      <w:start w:val="1"/>
      <w:numFmt w:val="decimal"/>
      <w:lvlText w:val="%2."/>
      <w:lvlJc w:val="left"/>
      <w:pPr>
        <w:ind w:left="1425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ACFA8">
      <w:start w:val="1"/>
      <w:numFmt w:val="lowerRoman"/>
      <w:lvlText w:val="%3"/>
      <w:lvlJc w:val="left"/>
      <w:pPr>
        <w:ind w:left="180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C62D4A">
      <w:start w:val="1"/>
      <w:numFmt w:val="decimal"/>
      <w:lvlText w:val="%4"/>
      <w:lvlJc w:val="left"/>
      <w:pPr>
        <w:ind w:left="252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DA2FAE">
      <w:start w:val="1"/>
      <w:numFmt w:val="lowerLetter"/>
      <w:lvlText w:val="%5"/>
      <w:lvlJc w:val="left"/>
      <w:pPr>
        <w:ind w:left="324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FA5A5A">
      <w:start w:val="1"/>
      <w:numFmt w:val="lowerRoman"/>
      <w:lvlText w:val="%6"/>
      <w:lvlJc w:val="left"/>
      <w:pPr>
        <w:ind w:left="396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C692E">
      <w:start w:val="1"/>
      <w:numFmt w:val="decimal"/>
      <w:lvlText w:val="%7"/>
      <w:lvlJc w:val="left"/>
      <w:pPr>
        <w:ind w:left="468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480734">
      <w:start w:val="1"/>
      <w:numFmt w:val="lowerLetter"/>
      <w:lvlText w:val="%8"/>
      <w:lvlJc w:val="left"/>
      <w:pPr>
        <w:ind w:left="540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D0C09E">
      <w:start w:val="1"/>
      <w:numFmt w:val="lowerRoman"/>
      <w:lvlText w:val="%9"/>
      <w:lvlJc w:val="left"/>
      <w:pPr>
        <w:ind w:left="6120"/>
      </w:pPr>
      <w:rPr>
        <w:rFonts w:ascii="Times New Roman" w:cs="Times New Roman" w:eastAsia="Times New Roman" w:hAnsi="Times New Roman"/>
        <w:b w:val="false"/>
        <w:i/>
        <w:iCs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4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fr-FR" w:bidi="ar-SA" w:eastAsia="fr-FR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15" w:lineRule="auto" w:line="388"/>
      <w:ind w:left="1090" w:right="4" w:hanging="370"/>
      <w:jc w:val="both"/>
    </w:pPr>
    <w:rPr>
      <w:rFonts w:ascii="Times New Roman" w:cs="Times New Roman" w:eastAsia="Times New Roman" w:hAnsi="Times New Roman"/>
      <w:color w:val="000000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163" w:lineRule="auto" w:line="259"/>
      <w:ind w:left="370" w:hanging="10"/>
      <w:outlineLvl w:val="0"/>
    </w:pPr>
    <w:rPr>
      <w:rFonts w:ascii="Times New Roman" w:cs="Times New Roman" w:eastAsia="Times New Roman" w:hAnsi="Times New Roman"/>
      <w:b/>
      <w:i/>
      <w:color w:val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itre 1 Car"/>
    <w:next w:val="style4097"/>
    <w:link w:val="style1"/>
    <w:rPr>
      <w:rFonts w:ascii="Times New Roman" w:cs="Times New Roman" w:eastAsia="Times New Roman" w:hAnsi="Times New Roman"/>
      <w:b/>
      <w:i/>
      <w:color w:val="000000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1233</Words>
  <Pages>1</Pages>
  <Characters>7268</Characters>
  <Application>WPS Office</Application>
  <DocSecurity>0</DocSecurity>
  <Paragraphs>88</Paragraphs>
  <ScaleCrop>false</ScaleCrop>
  <LinksUpToDate>false</LinksUpToDate>
  <CharactersWithSpaces>8535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2026-10-07T09:07:13Z</dcterms:created>
  <dc:creator>emmanuel shako</dc:creator>
  <lastModifiedBy>itel A675L</lastModifiedBy>
  <dcterms:modified xsi:type="dcterms:W3CDTF">2026-10-07T09:07:38Z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bc58bd32a3a2409aba42570228362719_23</vt:lpwstr>
  </property>
</Properties>
</file>