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1BA3A3"/>
          <w:sz w:val="22"/>
        </w:rPr>
        <w:t>LAUNCHBOOK OPÉRATIONNEL</w:t>
      </w:r>
    </w:p>
    <w:p>
      <w:pPr>
        <w:pStyle w:val="Title"/>
        <w:jc w:val="center"/>
      </w:pPr>
      <w:r>
        <w:rPr>
          <w:rFonts w:ascii="Calibri" w:hAnsi="Calibri"/>
          <w:b/>
          <w:i w:val="0"/>
          <w:color w:val="102A43"/>
          <w:sz w:val="60"/>
        </w:rPr>
        <w:t>Kolibree Auto</w:t>
        <w:br/>
        <w:t>Sovereign Router</w:t>
      </w:r>
    </w:p>
    <w:p>
      <w:pPr>
        <w:pStyle w:val="Subtitle"/>
        <w:jc w:val="center"/>
      </w:pPr>
      <w:r>
        <w:rPr>
          <w:rFonts w:ascii="Calibri" w:hAnsi="Calibri"/>
          <w:b w:val="0"/>
          <w:i w:val="0"/>
          <w:color w:val="566573"/>
          <w:sz w:val="30"/>
        </w:rPr>
        <w:t>Une API pour réduire le coût des LLM, prouver la qualité</w:t>
        <w:br/>
        <w:t>et reprendre le contrôle sur la souveraineté</w:t>
      </w:r>
    </w:p>
    <w:p/>
    <w:p>
      <w:pPr>
        <w:jc w:val="center"/>
      </w:pPr>
      <w:r>
        <w:rPr>
          <w:rFonts w:ascii="Calibri" w:hAnsi="Calibri"/>
          <w:b/>
          <w:i w:val="0"/>
          <w:color w:val="1E5AA8"/>
          <w:sz w:val="21"/>
        </w:rPr>
        <w:t>Version 2.0  |  19 août 2026  |  Plan 30 jours</w:t>
        <w:br/>
        <w:t>Décision de lancement + manuel d’exécution</w:t>
      </w:r>
    </w:p>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Callout"/>
              <w:widowControl/>
            </w:pPr>
            <w:r>
              <w:rPr>
                <w:rFonts w:ascii="Calibri" w:hAnsi="Calibri"/>
                <w:b/>
                <w:i w:val="0"/>
                <w:color w:val="1E5AA8"/>
                <w:sz w:val="22"/>
              </w:rPr>
              <w:t xml:space="preserve">Décision recommandée. </w:t>
            </w:r>
            <w:r>
              <w:rPr>
                <w:rFonts w:ascii="Calibri" w:hAnsi="Calibri"/>
                <w:b w:val="0"/>
                <w:i w:val="0"/>
                <w:color w:val="102A43"/>
                <w:sz w:val="22"/>
              </w:rPr>
              <w:t>Lancer une beta fermée sur deux wedges complémentaires : Auto Savings pour l’acquisition et Sovereign Evidence pour les comptes régulés. Ne pas construire un nouvel agrégateur généraliste ni self-hoster les modèles géants au départ.</w:t>
            </w:r>
          </w:p>
        </w:tc>
      </w:tr>
    </w:tbl>
    <w:p>
      <w:pPr>
        <w:spacing w:after="20"/>
      </w:pPr>
    </w:p>
    <w:p>
      <w:r>
        <w:br w:type="page"/>
      </w:r>
    </w:p>
    <w:p>
      <w:pPr>
        <w:pStyle w:val="Heading1"/>
      </w:pPr>
      <w:r>
        <w:t>Mode d’emploi</w:t>
      </w:r>
    </w:p>
    <w:p>
      <w:r>
        <w:rPr>
          <w:rFonts w:ascii="Calibri" w:hAnsi="Calibri"/>
          <w:b w:val="0"/>
          <w:i w:val="0"/>
          <w:color w:val="102A43"/>
          <w:sz w:val="22"/>
        </w:rPr>
        <w:t>Ce document est conçu pour être exécuté dès maintenant. Les sections 1 à 4 fixent la stratégie et le produit. Les sections 5 à 10 organisent le sprint, la commercialisation, les responsabilités, le budget et les gates de décision. Les annexes fournissent les messages, les emails et le registre de risques.</w:t>
      </w:r>
    </w:p>
    <w:tbl>
      <w:tblPr>
        <w:tblStyle w:val="TableGrid"/>
        <w:tblW w:type="dxa" w:w="9360"/>
        <w:jc w:val="left"/>
        <w:tblLayout w:type="fixed"/>
        <w:tblLook w:firstColumn="1" w:firstRow="1" w:lastColumn="0" w:lastRow="0" w:noHBand="0" w:noVBand="1" w:val="04A0"/>
        <w:tblInd w:w="120" w:type="dxa"/>
      </w:tblPr>
      <w:tblGrid>
        <w:gridCol w:w="1500"/>
        <w:gridCol w:w="4700"/>
        <w:gridCol w:w="3160"/>
      </w:tblGrid>
      <w:tr>
        <w:trPr>
          <w:tblHeader w:val="true"/>
        </w:trPr>
        <w:tc>
          <w:tcPr>
            <w:tcW w:type="dxa" w:w="1500"/>
            <w:shd w:fill="E8EEF5"/>
            <w:tcMar>
              <w:top w:w="80" w:type="dxa"/>
              <w:start w:w="120" w:type="dxa"/>
              <w:bottom w:w="80" w:type="dxa"/>
              <w:end w:w="120" w:type="dxa"/>
            </w:tcMar>
            <w:vAlign w:val="center"/>
          </w:tcPr>
          <w:p>
            <w:pPr>
              <w:widowControl/>
              <w:spacing w:after="0"/>
            </w:pPr>
            <w:r>
              <w:rPr>
                <w:rFonts w:ascii="Calibri" w:hAnsi="Calibri"/>
                <w:b/>
                <w:i w:val="0"/>
                <w:color w:val="102A43"/>
                <w:sz w:val="19"/>
              </w:rPr>
              <w:t>Horizon</w:t>
            </w:r>
          </w:p>
        </w:tc>
        <w:tc>
          <w:tcPr>
            <w:tcW w:type="dxa" w:w="4700"/>
            <w:shd w:fill="E8EEF5"/>
            <w:tcMar>
              <w:top w:w="80" w:type="dxa"/>
              <w:start w:w="120" w:type="dxa"/>
              <w:bottom w:w="80" w:type="dxa"/>
              <w:end w:w="120" w:type="dxa"/>
            </w:tcMar>
            <w:vAlign w:val="center"/>
          </w:tcPr>
          <w:p>
            <w:pPr>
              <w:widowControl/>
              <w:spacing w:after="0"/>
            </w:pPr>
            <w:r>
              <w:rPr>
                <w:rFonts w:ascii="Calibri" w:hAnsi="Calibri"/>
                <w:b/>
                <w:i w:val="0"/>
                <w:color w:val="102A43"/>
                <w:sz w:val="19"/>
              </w:rPr>
              <w:t>Résultat attendu</w:t>
            </w:r>
          </w:p>
        </w:tc>
        <w:tc>
          <w:tcPr>
            <w:tcW w:type="dxa" w:w="3160"/>
            <w:shd w:fill="E8EEF5"/>
            <w:tcMar>
              <w:top w:w="80" w:type="dxa"/>
              <w:start w:w="120" w:type="dxa"/>
              <w:bottom w:w="80" w:type="dxa"/>
              <w:end w:w="120" w:type="dxa"/>
            </w:tcMar>
            <w:vAlign w:val="center"/>
          </w:tcPr>
          <w:p>
            <w:pPr>
              <w:widowControl/>
              <w:spacing w:after="0"/>
            </w:pPr>
            <w:r>
              <w:rPr>
                <w:rFonts w:ascii="Calibri" w:hAnsi="Calibri"/>
                <w:b/>
                <w:i w:val="0"/>
                <w:color w:val="102A43"/>
                <w:sz w:val="19"/>
              </w:rPr>
              <w:t>Gate</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72 heures</w:t>
            </w:r>
          </w:p>
        </w:tc>
        <w:tc>
          <w:tcPr>
            <w:tcW w:type="dxa" w:w="4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API compatible OpenAI, routage simple, compteur d’économies, landing A/B</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3 workloads passent de bout en bout</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Jour 10</w:t>
            </w:r>
          </w:p>
        </w:tc>
        <w:tc>
          <w:tcPr>
            <w:tcW w:type="dxa" w:w="4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10 design partners onboardés, premières économies mesurées</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Auto Acceptance Rate ≥ 70 % sur tâches ciblées</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Jour 30</w:t>
            </w:r>
          </w:p>
        </w:tc>
        <w:tc>
          <w:tcPr>
            <w:tcW w:type="dxa" w:w="4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2–3 cas prouvés, rétention et coût unitaire connus</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Go / pivot / stop documenté</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26 septembre</w:t>
            </w:r>
          </w:p>
        </w:tc>
        <w:tc>
          <w:tcPr>
            <w:tcW w:type="dxa" w:w="4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démonstration bancaire et dossier crédible pour Crédit Agricole</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preuve DORA Exit Test + cas client</w:t>
            </w:r>
          </w:p>
        </w:tc>
      </w:tr>
    </w:tbl>
    <w:p>
      <w:pPr>
        <w:spacing w:after="20"/>
      </w:pPr>
    </w:p>
    <w:p>
      <w:pPr>
        <w:pStyle w:val="Heading2"/>
      </w:pPr>
      <w:r>
        <w:t>Sommaire</w:t>
      </w:r>
    </w:p>
    <w:p>
      <w:r>
        <w:rPr>
          <w:rFonts w:ascii="Calibri" w:hAnsi="Calibri"/>
          <w:b w:val="0"/>
          <w:i w:val="0"/>
          <w:color w:val="102A43"/>
          <w:sz w:val="22"/>
        </w:rPr>
        <w:t>1. Thèse et décisions</w:t>
      </w:r>
    </w:p>
    <w:p>
      <w:r>
        <w:rPr>
          <w:rFonts w:ascii="Calibri" w:hAnsi="Calibri"/>
          <w:b w:val="0"/>
          <w:i w:val="0"/>
          <w:color w:val="102A43"/>
          <w:sz w:val="22"/>
        </w:rPr>
        <w:t>2. Produit et expérience</w:t>
      </w:r>
    </w:p>
    <w:p>
      <w:r>
        <w:rPr>
          <w:rFonts w:ascii="Calibri" w:hAnsi="Calibri"/>
          <w:b w:val="0"/>
          <w:i w:val="0"/>
          <w:color w:val="102A43"/>
          <w:sz w:val="22"/>
        </w:rPr>
        <w:t>3. Architecture MVP</w:t>
      </w:r>
    </w:p>
    <w:p>
      <w:r>
        <w:rPr>
          <w:rFonts w:ascii="Calibri" w:hAnsi="Calibri"/>
          <w:b w:val="0"/>
          <w:i w:val="0"/>
          <w:color w:val="102A43"/>
          <w:sz w:val="22"/>
        </w:rPr>
        <w:t>4. Portefeuille de modèles et fournisseurs</w:t>
      </w:r>
    </w:p>
    <w:p>
      <w:r>
        <w:rPr>
          <w:rFonts w:ascii="Calibri" w:hAnsi="Calibri"/>
          <w:b w:val="0"/>
          <w:i w:val="0"/>
          <w:color w:val="102A43"/>
          <w:sz w:val="22"/>
        </w:rPr>
        <w:t>5. Plan de lancement 72 h / 10 j / 30 j</w:t>
      </w:r>
    </w:p>
    <w:p>
      <w:r>
        <w:rPr>
          <w:rFonts w:ascii="Calibri" w:hAnsi="Calibri"/>
          <w:b w:val="0"/>
          <w:i w:val="0"/>
          <w:color w:val="102A43"/>
          <w:sz w:val="22"/>
        </w:rPr>
        <w:t>6. Go-to-market et expérimentation</w:t>
      </w:r>
    </w:p>
    <w:p>
      <w:r>
        <w:rPr>
          <w:rFonts w:ascii="Calibri" w:hAnsi="Calibri"/>
          <w:b w:val="0"/>
          <w:i w:val="0"/>
          <w:color w:val="102A43"/>
          <w:sz w:val="22"/>
        </w:rPr>
        <w:t>7. Agents marketing et intelligence de marché</w:t>
      </w:r>
    </w:p>
    <w:p>
      <w:r>
        <w:rPr>
          <w:rFonts w:ascii="Calibri" w:hAnsi="Calibri"/>
          <w:b w:val="0"/>
          <w:i w:val="0"/>
          <w:color w:val="102A43"/>
          <w:sz w:val="22"/>
        </w:rPr>
        <w:t>8. Unit economics</w:t>
      </w:r>
    </w:p>
    <w:p>
      <w:r>
        <w:rPr>
          <w:rFonts w:ascii="Calibri" w:hAnsi="Calibri"/>
          <w:b w:val="0"/>
          <w:i w:val="0"/>
          <w:color w:val="102A43"/>
          <w:sz w:val="22"/>
        </w:rPr>
        <w:t>9. Juridique, sécurité et conformité</w:t>
      </w:r>
    </w:p>
    <w:p>
      <w:r>
        <w:rPr>
          <w:rFonts w:ascii="Calibri" w:hAnsi="Calibri"/>
          <w:b w:val="0"/>
          <w:i w:val="0"/>
          <w:color w:val="102A43"/>
          <w:sz w:val="22"/>
        </w:rPr>
        <w:t>10. Gouvernance, KPI et gates</w:t>
      </w:r>
    </w:p>
    <w:p>
      <w:r>
        <w:rPr>
          <w:rFonts w:ascii="Calibri" w:hAnsi="Calibri"/>
          <w:b w:val="0"/>
          <w:i w:val="0"/>
          <w:color w:val="102A43"/>
          <w:sz w:val="22"/>
        </w:rPr>
        <w:t>Annexes : messages, emails, checklists, sources</w:t>
      </w:r>
    </w:p>
    <w:p>
      <w:pPr>
        <w:pStyle w:val="Heading1"/>
      </w:pPr>
      <w:r>
        <w:t>1. Thèse et décisions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Callout"/>
              <w:widowControl/>
            </w:pPr>
            <w:r>
              <w:rPr>
                <w:rFonts w:ascii="Calibri" w:hAnsi="Calibri"/>
                <w:b/>
                <w:i w:val="0"/>
                <w:color w:val="1E5AA8"/>
                <w:sz w:val="22"/>
              </w:rPr>
              <w:t xml:space="preserve">Thèse. </w:t>
            </w:r>
            <w:r>
              <w:rPr>
                <w:rFonts w:ascii="Calibri" w:hAnsi="Calibri"/>
                <w:b w:val="0"/>
                <w:i w:val="0"/>
                <w:color w:val="102A43"/>
                <w:sz w:val="22"/>
              </w:rPr>
              <w:t>Les entreprises ne veulent pas un routeur de plus. Elles veulent une baisse de dépense prouvée, sans baisse de qualité, et la capacité de démontrer où leurs données sont parties, quel modèle a répondu et comment elles peuvent en sortir.</w:t>
            </w:r>
          </w:p>
        </w:tc>
      </w:tr>
    </w:tbl>
    <w:p>
      <w:pPr>
        <w:spacing w:after="20"/>
      </w:pPr>
    </w:p>
    <w:p>
      <w:pPr>
        <w:pStyle w:val="Heading2"/>
      </w:pPr>
      <w:r>
        <w:t>1.1 Les deux wedges</w:t>
      </w:r>
    </w:p>
    <w:tbl>
      <w:tblPr>
        <w:tblStyle w:val="TableGrid"/>
        <w:tblW w:type="dxa" w:w="9360"/>
        <w:jc w:val="left"/>
        <w:tblLayout w:type="fixed"/>
        <w:tblLook w:firstColumn="1" w:firstRow="1" w:lastColumn="0" w:lastRow="0" w:noHBand="0" w:noVBand="1" w:val="04A0"/>
        <w:tblInd w:w="120" w:type="dxa"/>
      </w:tblPr>
      <w:tblGrid>
        <w:gridCol w:w="1500"/>
        <w:gridCol w:w="1700"/>
        <w:gridCol w:w="2800"/>
        <w:gridCol w:w="3360"/>
      </w:tblGrid>
      <w:tr>
        <w:trPr>
          <w:tblHeader w:val="true"/>
        </w:trPr>
        <w:tc>
          <w:tcPr>
            <w:tcW w:type="dxa" w:w="1500"/>
            <w:shd w:fill="E8EEF5"/>
            <w:tcMar>
              <w:top w:w="80" w:type="dxa"/>
              <w:start w:w="120" w:type="dxa"/>
              <w:bottom w:w="80" w:type="dxa"/>
              <w:end w:w="120" w:type="dxa"/>
            </w:tcMar>
            <w:vAlign w:val="center"/>
          </w:tcPr>
          <w:p>
            <w:pPr>
              <w:widowControl/>
              <w:spacing w:after="0"/>
            </w:pPr>
            <w:r>
              <w:rPr>
                <w:rFonts w:ascii="Calibri" w:hAnsi="Calibri"/>
                <w:b/>
                <w:i w:val="0"/>
                <w:color w:val="102A43"/>
                <w:sz w:val="19"/>
              </w:rPr>
              <w:t>Wedge</w:t>
            </w:r>
          </w:p>
        </w:tc>
        <w:tc>
          <w:tcPr>
            <w:tcW w:type="dxa" w:w="1700"/>
            <w:shd w:fill="E8EEF5"/>
            <w:tcMar>
              <w:top w:w="80" w:type="dxa"/>
              <w:start w:w="120" w:type="dxa"/>
              <w:bottom w:w="80" w:type="dxa"/>
              <w:end w:w="120" w:type="dxa"/>
            </w:tcMar>
            <w:vAlign w:val="center"/>
          </w:tcPr>
          <w:p>
            <w:pPr>
              <w:widowControl/>
              <w:spacing w:after="0"/>
            </w:pPr>
            <w:r>
              <w:rPr>
                <w:rFonts w:ascii="Calibri" w:hAnsi="Calibri"/>
                <w:b/>
                <w:i w:val="0"/>
                <w:color w:val="102A43"/>
                <w:sz w:val="19"/>
              </w:rPr>
              <w:t>Acheteur</w:t>
            </w:r>
          </w:p>
        </w:tc>
        <w:tc>
          <w:tcPr>
            <w:tcW w:type="dxa" w:w="2800"/>
            <w:shd w:fill="E8EEF5"/>
            <w:tcMar>
              <w:top w:w="80" w:type="dxa"/>
              <w:start w:w="120" w:type="dxa"/>
              <w:bottom w:w="80" w:type="dxa"/>
              <w:end w:w="120" w:type="dxa"/>
            </w:tcMar>
            <w:vAlign w:val="center"/>
          </w:tcPr>
          <w:p>
            <w:pPr>
              <w:widowControl/>
              <w:spacing w:after="0"/>
            </w:pPr>
            <w:r>
              <w:rPr>
                <w:rFonts w:ascii="Calibri" w:hAnsi="Calibri"/>
                <w:b/>
                <w:i w:val="0"/>
                <w:color w:val="102A43"/>
                <w:sz w:val="19"/>
              </w:rPr>
              <w:t>Promesse</w:t>
            </w:r>
          </w:p>
        </w:tc>
        <w:tc>
          <w:tcPr>
            <w:tcW w:type="dxa" w:w="3360"/>
            <w:shd w:fill="E8EEF5"/>
            <w:tcMar>
              <w:top w:w="80" w:type="dxa"/>
              <w:start w:w="120" w:type="dxa"/>
              <w:bottom w:w="80" w:type="dxa"/>
              <w:end w:w="120" w:type="dxa"/>
            </w:tcMar>
            <w:vAlign w:val="center"/>
          </w:tcPr>
          <w:p>
            <w:pPr>
              <w:widowControl/>
              <w:spacing w:after="0"/>
            </w:pPr>
            <w:r>
              <w:rPr>
                <w:rFonts w:ascii="Calibri" w:hAnsi="Calibri"/>
                <w:b/>
                <w:i w:val="0"/>
                <w:color w:val="102A43"/>
                <w:sz w:val="19"/>
              </w:rPr>
              <w:t>Preuve</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Auto Savings</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CTO, VP Engineering, FinOps</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Même API, modèle choisi automatiquement, facture inférieure</w:t>
            </w:r>
          </w:p>
        </w:tc>
        <w:tc>
          <w:tcPr>
            <w:tcW w:type="dxa" w:w="3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Spend Saved + Verified Saving</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Sovereign Evidence</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DSI, Risk, Compliance, banque/assurance</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Policy de souveraineté, AI-BOM et sortie fournisseur testable</w:t>
            </w:r>
          </w:p>
        </w:tc>
        <w:tc>
          <w:tcPr>
            <w:tcW w:type="dxa" w:w="3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Evidence Ledger + DORA Exit Test</w:t>
            </w:r>
          </w:p>
        </w:tc>
      </w:tr>
    </w:tbl>
    <w:p>
      <w:pPr>
        <w:spacing w:after="20"/>
      </w:pPr>
    </w:p>
    <w:p>
      <w:pPr>
        <w:pStyle w:val="Heading2"/>
      </w:pPr>
      <w:r>
        <w:t>1.2 Décisions irréversibles à éviter</w:t>
      </w:r>
    </w:p>
    <w:p>
      <w:pPr>
        <w:pStyle w:val="ListBullet"/>
      </w:pPr>
      <w:r>
        <w:rPr>
          <w:rFonts w:ascii="Calibri" w:hAnsi="Calibri"/>
          <w:b w:val="0"/>
          <w:i w:val="0"/>
          <w:color w:val="102A43"/>
          <w:sz w:val="22"/>
        </w:rPr>
        <w:t>Ne pas lancer un marketplace ou catalogue universel de modèles.</w:t>
      </w:r>
    </w:p>
    <w:p>
      <w:pPr>
        <w:pStyle w:val="ListBullet"/>
      </w:pPr>
      <w:r>
        <w:rPr>
          <w:rFonts w:ascii="Calibri" w:hAnsi="Calibri"/>
          <w:b w:val="0"/>
          <w:i w:val="0"/>
          <w:color w:val="102A43"/>
          <w:sz w:val="22"/>
        </w:rPr>
        <w:t>Ne pas dépendre d’un seul agrégateur pour le coût, la disponibilité ou les droits de revente.</w:t>
      </w:r>
    </w:p>
    <w:p>
      <w:pPr>
        <w:pStyle w:val="ListBullet"/>
      </w:pPr>
      <w:r>
        <w:rPr>
          <w:rFonts w:ascii="Calibri" w:hAnsi="Calibri"/>
          <w:b w:val="0"/>
          <w:i w:val="0"/>
          <w:color w:val="102A43"/>
          <w:sz w:val="22"/>
        </w:rPr>
        <w:t>Ne pas promettre un pourcentage d’économie avant replay des workloads du client.</w:t>
      </w:r>
    </w:p>
    <w:p>
      <w:pPr>
        <w:pStyle w:val="ListBullet"/>
      </w:pPr>
      <w:r>
        <w:rPr>
          <w:rFonts w:ascii="Calibri" w:hAnsi="Calibri"/>
          <w:b w:val="0"/>
          <w:i w:val="0"/>
          <w:color w:val="102A43"/>
          <w:sz w:val="22"/>
        </w:rPr>
        <w:t>Ne pas self-hoster Qwen3.8-2.4T-A95B ou un autre géant pendant le MVP.</w:t>
      </w:r>
    </w:p>
    <w:p>
      <w:pPr>
        <w:pStyle w:val="ListBullet"/>
      </w:pPr>
      <w:r>
        <w:rPr>
          <w:rFonts w:ascii="Calibri" w:hAnsi="Calibri"/>
          <w:b w:val="0"/>
          <w:i w:val="0"/>
          <w:color w:val="102A43"/>
          <w:sz w:val="22"/>
        </w:rPr>
        <w:t>Ne pas présenter le hash chaining de l’Evidence Ledger comme une blockchain.</w:t>
      </w:r>
    </w:p>
    <w:p>
      <w:pPr>
        <w:pStyle w:val="Heading2"/>
      </w:pPr>
      <w:r>
        <w:t>1.3 Avantage Kolibree</w:t>
      </w:r>
    </w:p>
    <w:p>
      <w:r>
        <w:rPr>
          <w:rFonts w:ascii="Calibri" w:hAnsi="Calibri"/>
          <w:b w:val="0"/>
          <w:i w:val="0"/>
          <w:color w:val="102A43"/>
          <w:sz w:val="22"/>
        </w:rPr>
        <w:t>Le wedge grand public crée le volume et les signaux d’usage. La couche souveraine transforme ces signaux en actif défendable : politiques, benchmarks sectoriels, référentiels d’entraînement, certification et audit. L’accord avec Groupe Audit, l’expérience Kolibree/Baracoda et Flaminem, ainsi que les liens INRIA/Prairie donnent une crédibilité que les gateways purement techniques n’ont pas.</w:t>
      </w:r>
    </w:p>
    <w:p>
      <w:pPr>
        <w:pStyle w:val="Heading1"/>
      </w:pPr>
      <w:r>
        <w:t>2. Produit et expérience</w:t>
      </w:r>
    </w:p>
    <w:p>
      <w:pPr>
        <w:pStyle w:val="Heading2"/>
      </w:pPr>
      <w:r>
        <w:t>2.1 Contrat API</w:t>
      </w:r>
    </w:p>
    <w:tbl>
      <w:tblPr>
        <w:tblStyle w:val="TableGrid"/>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E8EEF5"/>
            <w:tcMar>
              <w:top w:w="80" w:type="dxa"/>
              <w:start w:w="120" w:type="dxa"/>
              <w:bottom w:w="80" w:type="dxa"/>
              <w:end w:w="120" w:type="dxa"/>
            </w:tcMar>
            <w:vAlign w:val="center"/>
          </w:tcPr>
          <w:p>
            <w:pPr>
              <w:widowControl/>
              <w:spacing w:after="0"/>
            </w:pPr>
            <w:r>
              <w:rPr>
                <w:rFonts w:ascii="Calibri" w:hAnsi="Calibri"/>
                <w:b/>
                <w:i w:val="0"/>
                <w:color w:val="102A43"/>
                <w:sz w:val="19"/>
              </w:rPr>
              <w:t>Élément</w:t>
            </w:r>
          </w:p>
        </w:tc>
        <w:tc>
          <w:tcPr>
            <w:tcW w:type="dxa" w:w="3300"/>
            <w:shd w:fill="E8EEF5"/>
            <w:tcMar>
              <w:top w:w="80" w:type="dxa"/>
              <w:start w:w="120" w:type="dxa"/>
              <w:bottom w:w="80" w:type="dxa"/>
              <w:end w:w="120" w:type="dxa"/>
            </w:tcMar>
            <w:vAlign w:val="center"/>
          </w:tcPr>
          <w:p>
            <w:pPr>
              <w:widowControl/>
              <w:spacing w:after="0"/>
            </w:pPr>
            <w:r>
              <w:rPr>
                <w:rFonts w:ascii="Calibri" w:hAnsi="Calibri"/>
                <w:b/>
                <w:i w:val="0"/>
                <w:color w:val="102A43"/>
                <w:sz w:val="19"/>
              </w:rPr>
              <w:t>MVP</w:t>
            </w:r>
          </w:p>
        </w:tc>
        <w:tc>
          <w:tcPr>
            <w:tcW w:type="dxa" w:w="4360"/>
            <w:shd w:fill="E8EEF5"/>
            <w:tcMar>
              <w:top w:w="80" w:type="dxa"/>
              <w:start w:w="120" w:type="dxa"/>
              <w:bottom w:w="80" w:type="dxa"/>
              <w:end w:w="120" w:type="dxa"/>
            </w:tcMar>
            <w:vAlign w:val="center"/>
          </w:tcPr>
          <w:p>
            <w:pPr>
              <w:widowControl/>
              <w:spacing w:after="0"/>
            </w:pPr>
            <w:r>
              <w:rPr>
                <w:rFonts w:ascii="Calibri" w:hAnsi="Calibri"/>
                <w:b/>
                <w:i w:val="0"/>
                <w:color w:val="102A43"/>
                <w:sz w:val="19"/>
              </w:rPr>
              <w:t>Après preuve</w:t>
            </w:r>
          </w:p>
        </w:tc>
      </w:tr>
      <w:tr>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Entrée</w:t>
            </w:r>
          </w:p>
        </w:tc>
        <w:tc>
          <w:tcPr>
            <w:tcW w:type="dxa" w:w="3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`/v1/chat/completions`, `model=auto`</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Responses API + compatibilité Anthropic</w:t>
            </w:r>
          </w:p>
        </w:tc>
      </w:tr>
      <w:tr>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Décision</w:t>
            </w:r>
          </w:p>
        </w:tc>
        <w:tc>
          <w:tcPr>
            <w:tcW w:type="dxa" w:w="3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classe de tâche + policy + budget</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score qualité/coût/latence + apprentissage supervisé</w:t>
            </w:r>
          </w:p>
        </w:tc>
      </w:tr>
      <w:tr>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Sortie</w:t>
            </w:r>
          </w:p>
        </w:tc>
        <w:tc>
          <w:tcPr>
            <w:tcW w:type="dxa" w:w="3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réponse + modèle + coût estimé + raison</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preuve complète, confidence, alternatives</w:t>
            </w:r>
          </w:p>
        </w:tc>
      </w:tr>
      <w:tr>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Escalade</w:t>
            </w:r>
          </w:p>
        </w:tc>
        <w:tc>
          <w:tcPr>
            <w:tcW w:type="dxa" w:w="3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fallback déterministe</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verifier spécialisé et double-run sélectif</w:t>
            </w:r>
          </w:p>
        </w:tc>
      </w:tr>
      <w:tr>
        <w:tc>
          <w:tcPr>
            <w:tcW w:type="dxa" w:w="17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Console</w:t>
            </w:r>
          </w:p>
        </w:tc>
        <w:tc>
          <w:tcPr>
            <w:tcW w:type="dxa" w:w="3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économies, erreurs, latence</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budgets d’équipe, policy studio, AI-BOM</w:t>
            </w:r>
          </w:p>
        </w:tc>
      </w:tr>
    </w:tbl>
    <w:p>
      <w:pPr>
        <w:spacing w:after="20"/>
      </w:pPr>
    </w:p>
    <w:p>
      <w:pPr>
        <w:pStyle w:val="Heading2"/>
      </w:pPr>
      <w:r>
        <w:t>2.2 Boucle de décision</w:t>
      </w:r>
    </w:p>
    <w:p>
      <w:pPr>
        <w:pStyle w:val="ListNumber"/>
      </w:pPr>
      <w:r>
        <w:rPr>
          <w:rFonts w:ascii="Calibri" w:hAnsi="Calibri"/>
          <w:b w:val="0"/>
          <w:i w:val="0"/>
          <w:color w:val="102A43"/>
          <w:sz w:val="22"/>
        </w:rPr>
        <w:t>Classifier la requête : extraction, résumé, QA, code, raisonnement ou conversation.</w:t>
      </w:r>
    </w:p>
    <w:p>
      <w:pPr>
        <w:pStyle w:val="ListNumber"/>
      </w:pPr>
      <w:r>
        <w:rPr>
          <w:rFonts w:ascii="Calibri" w:hAnsi="Calibri"/>
          <w:b w:val="0"/>
          <w:i w:val="0"/>
          <w:color w:val="102A43"/>
          <w:sz w:val="22"/>
        </w:rPr>
        <w:t>Appliquer les politiques : région, fournisseur autorisé, rétention, budget, données sensibles.</w:t>
      </w:r>
    </w:p>
    <w:p>
      <w:pPr>
        <w:pStyle w:val="ListNumber"/>
      </w:pPr>
      <w:r>
        <w:rPr>
          <w:rFonts w:ascii="Calibri" w:hAnsi="Calibri"/>
          <w:b w:val="0"/>
          <w:i w:val="0"/>
          <w:color w:val="102A43"/>
          <w:sz w:val="22"/>
        </w:rPr>
        <w:t>Choisir le modèle le moins cher admissible au-dessus du seuil de qualité prévu.</w:t>
      </w:r>
    </w:p>
    <w:p>
      <w:pPr>
        <w:pStyle w:val="ListNumber"/>
      </w:pPr>
      <w:r>
        <w:rPr>
          <w:rFonts w:ascii="Calibri" w:hAnsi="Calibri"/>
          <w:b w:val="0"/>
          <w:i w:val="0"/>
          <w:color w:val="102A43"/>
          <w:sz w:val="22"/>
        </w:rPr>
        <w:t>Exécuter et contrôler les signaux : format, refus, groundedness, tests ou verifier.</w:t>
      </w:r>
    </w:p>
    <w:p>
      <w:pPr>
        <w:pStyle w:val="ListNumber"/>
      </w:pPr>
      <w:r>
        <w:rPr>
          <w:rFonts w:ascii="Calibri" w:hAnsi="Calibri"/>
          <w:b w:val="0"/>
          <w:i w:val="0"/>
          <w:color w:val="102A43"/>
          <w:sz w:val="22"/>
        </w:rPr>
        <w:t>Accepter, corriger ou escalader vers un modèle plus puissant.</w:t>
      </w:r>
    </w:p>
    <w:p>
      <w:pPr>
        <w:pStyle w:val="ListNumber"/>
      </w:pPr>
      <w:r>
        <w:rPr>
          <w:rFonts w:ascii="Calibri" w:hAnsi="Calibri"/>
          <w:b w:val="0"/>
          <w:i w:val="0"/>
          <w:color w:val="102A43"/>
          <w:sz w:val="22"/>
        </w:rPr>
        <w:t>Écrire l’événement dans l’Evidence Ledger et mettre à jour le compteur d’économies.</w:t>
      </w:r>
    </w:p>
    <w:p>
      <w:pPr>
        <w:pStyle w:val="Heading2"/>
      </w:pPr>
      <w:r>
        <w:t>2.3 Mesure honnête des économies</w:t>
      </w:r>
    </w:p>
    <w:tbl>
      <w:tblPr>
        <w:tblStyle w:val="TableGrid"/>
        <w:tblW w:type="dxa" w:w="9360"/>
        <w:jc w:val="left"/>
        <w:tblLayout w:type="fixed"/>
        <w:tblLook w:firstColumn="1" w:firstRow="1" w:lastColumn="0" w:lastRow="0" w:noHBand="0" w:noVBand="1" w:val="04A0"/>
        <w:tblInd w:w="120" w:type="dxa"/>
      </w:tblPr>
      <w:tblGrid>
        <w:gridCol w:w="1800"/>
        <w:gridCol w:w="4400"/>
        <w:gridCol w:w="3160"/>
      </w:tblGrid>
      <w:tr>
        <w:trPr>
          <w:tblHeader w:val="true"/>
        </w:trPr>
        <w:tc>
          <w:tcPr>
            <w:tcW w:type="dxa" w:w="1800"/>
            <w:shd w:fill="E8EEF5"/>
            <w:tcMar>
              <w:top w:w="80" w:type="dxa"/>
              <w:start w:w="120" w:type="dxa"/>
              <w:bottom w:w="80" w:type="dxa"/>
              <w:end w:w="120" w:type="dxa"/>
            </w:tcMar>
            <w:vAlign w:val="center"/>
          </w:tcPr>
          <w:p>
            <w:pPr>
              <w:widowControl/>
              <w:spacing w:after="0"/>
            </w:pPr>
            <w:r>
              <w:rPr>
                <w:rFonts w:ascii="Calibri" w:hAnsi="Calibri"/>
                <w:b/>
                <w:i w:val="0"/>
                <w:color w:val="102A43"/>
                <w:sz w:val="19"/>
              </w:rPr>
              <w:t>Métrique</w:t>
            </w:r>
          </w:p>
        </w:tc>
        <w:tc>
          <w:tcPr>
            <w:tcW w:type="dxa" w:w="4400"/>
            <w:shd w:fill="E8EEF5"/>
            <w:tcMar>
              <w:top w:w="80" w:type="dxa"/>
              <w:start w:w="120" w:type="dxa"/>
              <w:bottom w:w="80" w:type="dxa"/>
              <w:end w:w="120" w:type="dxa"/>
            </w:tcMar>
            <w:vAlign w:val="center"/>
          </w:tcPr>
          <w:p>
            <w:pPr>
              <w:widowControl/>
              <w:spacing w:after="0"/>
            </w:pPr>
            <w:r>
              <w:rPr>
                <w:rFonts w:ascii="Calibri" w:hAnsi="Calibri"/>
                <w:b/>
                <w:i w:val="0"/>
                <w:color w:val="102A43"/>
                <w:sz w:val="19"/>
              </w:rPr>
              <w:t>Définition</w:t>
            </w:r>
          </w:p>
        </w:tc>
        <w:tc>
          <w:tcPr>
            <w:tcW w:type="dxa" w:w="3160"/>
            <w:shd w:fill="E8EEF5"/>
            <w:tcMar>
              <w:top w:w="80" w:type="dxa"/>
              <w:start w:w="120" w:type="dxa"/>
              <w:bottom w:w="80" w:type="dxa"/>
              <w:end w:w="120" w:type="dxa"/>
            </w:tcMar>
            <w:vAlign w:val="center"/>
          </w:tcPr>
          <w:p>
            <w:pPr>
              <w:widowControl/>
              <w:spacing w:after="0"/>
            </w:pPr>
            <w:r>
              <w:rPr>
                <w:rFonts w:ascii="Calibri" w:hAnsi="Calibri"/>
                <w:b/>
                <w:i w:val="0"/>
                <w:color w:val="102A43"/>
                <w:sz w:val="19"/>
              </w:rPr>
              <w:t>Usage</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Spend Saved</w:t>
            </w:r>
          </w:p>
        </w:tc>
        <w:tc>
          <w:tcPr>
            <w:tcW w:type="dxa" w:w="4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coût baseline – coût routé, à workload constant</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message CFO/FinOps</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Tokens Avoided</w:t>
            </w:r>
          </w:p>
        </w:tc>
        <w:tc>
          <w:tcPr>
            <w:tcW w:type="dxa" w:w="4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tokens évités par compression, cache ou prompt policy</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diagnostic technique</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Verified Saving</w:t>
            </w:r>
          </w:p>
        </w:tc>
        <w:tc>
          <w:tcPr>
            <w:tcW w:type="dxa" w:w="4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économie sur requêtes ayant passé les contrôles qualité</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métrique externe prioritaire</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Auto Acceptance Rate</w:t>
            </w:r>
          </w:p>
        </w:tc>
        <w:tc>
          <w:tcPr>
            <w:tcW w:type="dxa" w:w="4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part des réponses auto acceptées sans escalade/correction</w:t>
            </w:r>
          </w:p>
        </w:tc>
        <w:tc>
          <w:tcPr>
            <w:tcW w:type="dxa" w:w="31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KPI produit central</w:t>
            </w:r>
          </w:p>
        </w:tc>
      </w:tr>
    </w:tbl>
    <w:p>
      <w:pPr>
        <w:spacing w:after="20"/>
      </w:pPr>
    </w:p>
    <w:p>
      <w:pPr>
        <w:pStyle w:val="Heading1"/>
      </w:pPr>
      <w:r>
        <w:t>3. Architecture MVP</w:t>
      </w:r>
    </w:p>
    <w:p>
      <w:pPr>
        <w:pStyle w:val="Heading2"/>
      </w:pPr>
      <w:r>
        <w:t>3.1 Périmètre à construire</w:t>
      </w:r>
    </w:p>
    <w:tbl>
      <w:tblPr>
        <w:tblStyle w:val="TableGrid"/>
        <w:tblW w:type="dxa" w:w="9360"/>
        <w:jc w:val="left"/>
        <w:tblLayout w:type="fixed"/>
        <w:tblLook w:firstColumn="1" w:firstRow="1" w:lastColumn="0" w:lastRow="0" w:noHBand="0" w:noVBand="1" w:val="04A0"/>
        <w:tblInd w:w="120" w:type="dxa"/>
      </w:tblPr>
      <w:tblGrid>
        <w:gridCol w:w="1600"/>
        <w:gridCol w:w="3400"/>
        <w:gridCol w:w="4360"/>
      </w:tblGrid>
      <w:tr>
        <w:trPr>
          <w:tblHeader w:val="true"/>
        </w:trPr>
        <w:tc>
          <w:tcPr>
            <w:tcW w:type="dxa" w:w="1600"/>
            <w:shd w:fill="E8EEF5"/>
            <w:tcMar>
              <w:top w:w="80" w:type="dxa"/>
              <w:start w:w="120" w:type="dxa"/>
              <w:bottom w:w="80" w:type="dxa"/>
              <w:end w:w="120" w:type="dxa"/>
            </w:tcMar>
            <w:vAlign w:val="center"/>
          </w:tcPr>
          <w:p>
            <w:pPr>
              <w:widowControl/>
              <w:spacing w:after="0"/>
            </w:pPr>
            <w:r>
              <w:rPr>
                <w:rFonts w:ascii="Calibri" w:hAnsi="Calibri"/>
                <w:b/>
                <w:i w:val="0"/>
                <w:color w:val="102A43"/>
                <w:sz w:val="19"/>
              </w:rPr>
              <w:t>Composant</w:t>
            </w:r>
          </w:p>
        </w:tc>
        <w:tc>
          <w:tcPr>
            <w:tcW w:type="dxa" w:w="3400"/>
            <w:shd w:fill="E8EEF5"/>
            <w:tcMar>
              <w:top w:w="80" w:type="dxa"/>
              <w:start w:w="120" w:type="dxa"/>
              <w:bottom w:w="80" w:type="dxa"/>
              <w:end w:w="120" w:type="dxa"/>
            </w:tcMar>
            <w:vAlign w:val="center"/>
          </w:tcPr>
          <w:p>
            <w:pPr>
              <w:widowControl/>
              <w:spacing w:after="0"/>
            </w:pPr>
            <w:r>
              <w:rPr>
                <w:rFonts w:ascii="Calibri" w:hAnsi="Calibri"/>
                <w:b/>
                <w:i w:val="0"/>
                <w:color w:val="102A43"/>
                <w:sz w:val="19"/>
              </w:rPr>
              <w:t>Fonction</w:t>
            </w:r>
          </w:p>
        </w:tc>
        <w:tc>
          <w:tcPr>
            <w:tcW w:type="dxa" w:w="4360"/>
            <w:shd w:fill="E8EEF5"/>
            <w:tcMar>
              <w:top w:w="80" w:type="dxa"/>
              <w:start w:w="120" w:type="dxa"/>
              <w:bottom w:w="80" w:type="dxa"/>
              <w:end w:w="120" w:type="dxa"/>
            </w:tcMar>
            <w:vAlign w:val="center"/>
          </w:tcPr>
          <w:p>
            <w:pPr>
              <w:widowControl/>
              <w:spacing w:after="0"/>
            </w:pPr>
            <w:r>
              <w:rPr>
                <w:rFonts w:ascii="Calibri" w:hAnsi="Calibri"/>
                <w:b/>
                <w:i w:val="0"/>
                <w:color w:val="102A43"/>
                <w:sz w:val="19"/>
              </w:rPr>
              <w:t>Definition of Done</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Gateway</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auth, quotas, format OpenAI</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clé → réponse streamée + logs</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Registry + AI-BOM</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modèles, régions, licences, prix, capacités</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chaque route a une fiche versionnée</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Policy Engine</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allow/deny par client et donnée</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test unitaire sur 10 policies</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Router</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règles puis scoring</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décision explicable et reproductible</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Verifier</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format, tests, juge ou règle métier</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raison d’acceptation/escalade stockée</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Savings Meter</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baseline et coût réel</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calcul réconciliable avec facture</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Evidence Ledger</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événements append-only, hash chain</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export par workload</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Dashboard</w:t>
            </w:r>
          </w:p>
        </w:tc>
        <w:tc>
          <w:tcPr>
            <w:tcW w:type="dxa" w:w="3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coût, qualité, latence, régions</w:t>
            </w:r>
          </w:p>
        </w:tc>
        <w:tc>
          <w:tcPr>
            <w:tcW w:type="dxa" w:w="43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vue client quotidienne</w:t>
            </w:r>
          </w:p>
        </w:tc>
      </w:tr>
    </w:tbl>
    <w:p>
      <w:pPr>
        <w:spacing w:after="20"/>
      </w:pPr>
    </w:p>
    <w:p>
      <w:pPr>
        <w:pStyle w:val="Heading2"/>
      </w:pPr>
      <w:r>
        <w:t>3.2 Stack recommandée</w:t>
      </w:r>
    </w:p>
    <w:p>
      <w:pPr>
        <w:pStyle w:val="ListBullet"/>
      </w:pPr>
      <w:r>
        <w:rPr>
          <w:rFonts w:ascii="Calibri" w:hAnsi="Calibri"/>
          <w:b w:val="0"/>
          <w:i w:val="0"/>
          <w:color w:val="102A43"/>
          <w:sz w:val="22"/>
        </w:rPr>
        <w:t>Utiliser LiteLLM OSS comme accélérateur de gateway, pas comme différenciation : interface unifiée, clés virtuelles, budgets, fallbacks et logs sont déjà disponibles.</w:t>
      </w:r>
    </w:p>
    <w:p>
      <w:pPr>
        <w:pStyle w:val="ListBullet"/>
      </w:pPr>
      <w:r>
        <w:rPr>
          <w:rFonts w:ascii="Calibri" w:hAnsi="Calibri"/>
          <w:b w:val="0"/>
          <w:i w:val="0"/>
          <w:color w:val="102A43"/>
          <w:sz w:val="22"/>
        </w:rPr>
        <w:t>Mettre la logique propriétaire dans le registry, la policy, le scorer, le verifier, les benchmarks et les preuves.</w:t>
      </w:r>
    </w:p>
    <w:p>
      <w:pPr>
        <w:pStyle w:val="ListBullet"/>
      </w:pPr>
      <w:r>
        <w:rPr>
          <w:rFonts w:ascii="Calibri" w:hAnsi="Calibri"/>
          <w:b w:val="0"/>
          <w:i w:val="0"/>
          <w:color w:val="102A43"/>
          <w:sz w:val="22"/>
        </w:rPr>
        <w:t>Commencer avec Postgres + stockage objet ; append-only et hash chaining suffisent pour l’audit MVP.</w:t>
      </w:r>
    </w:p>
    <w:p>
      <w:pPr>
        <w:pStyle w:val="ListBullet"/>
      </w:pPr>
      <w:r>
        <w:rPr>
          <w:rFonts w:ascii="Calibri" w:hAnsi="Calibri"/>
          <w:b w:val="0"/>
          <w:i w:val="0"/>
          <w:color w:val="102A43"/>
          <w:sz w:val="22"/>
        </w:rPr>
        <w:t>Séparer control plane UE et data plane fournisseur ; aucun prompt en log par défaut.</w:t>
      </w:r>
    </w:p>
    <w:p>
      <w:pPr>
        <w:pStyle w:val="ListBullet"/>
      </w:pPr>
      <w:r>
        <w:rPr>
          <w:rFonts w:ascii="Calibri" w:hAnsi="Calibri"/>
          <w:b w:val="0"/>
          <w:i w:val="0"/>
          <w:color w:val="102A43"/>
          <w:sz w:val="22"/>
        </w:rPr>
        <w:t>Prévoir BYOK et contrats directs pour réduire le risque de revente.</w:t>
      </w:r>
    </w:p>
    <w:p>
      <w:pPr>
        <w:pStyle w:val="Heading2"/>
      </w:pPr>
      <w:r>
        <w:t>3.3 Ce qui n’est pas dans le MVP</w:t>
      </w:r>
    </w:p>
    <w:p>
      <w:pPr>
        <w:pStyle w:val="ListBullet"/>
      </w:pPr>
      <w:r>
        <w:rPr>
          <w:rFonts w:ascii="Calibri" w:hAnsi="Calibri"/>
          <w:b w:val="0"/>
          <w:i w:val="0"/>
          <w:color w:val="102A43"/>
          <w:sz w:val="22"/>
        </w:rPr>
        <w:t>fine-tuning client</w:t>
      </w:r>
    </w:p>
    <w:p>
      <w:pPr>
        <w:pStyle w:val="ListBullet"/>
      </w:pPr>
      <w:r>
        <w:rPr>
          <w:rFonts w:ascii="Calibri" w:hAnsi="Calibri"/>
          <w:b w:val="0"/>
          <w:i w:val="0"/>
          <w:color w:val="102A43"/>
          <w:sz w:val="22"/>
        </w:rPr>
        <w:t>marketplace public</w:t>
      </w:r>
    </w:p>
    <w:p>
      <w:pPr>
        <w:pStyle w:val="ListBullet"/>
      </w:pPr>
      <w:r>
        <w:rPr>
          <w:rFonts w:ascii="Calibri" w:hAnsi="Calibri"/>
          <w:b w:val="0"/>
          <w:i w:val="0"/>
          <w:color w:val="102A43"/>
          <w:sz w:val="22"/>
        </w:rPr>
        <w:t>support de toutes les modalités</w:t>
      </w:r>
    </w:p>
    <w:p>
      <w:pPr>
        <w:pStyle w:val="ListBullet"/>
      </w:pPr>
      <w:r>
        <w:rPr>
          <w:rFonts w:ascii="Calibri" w:hAnsi="Calibri"/>
          <w:b w:val="0"/>
          <w:i w:val="0"/>
          <w:color w:val="102A43"/>
          <w:sz w:val="22"/>
        </w:rPr>
        <w:t>self-hosting multi-région complet</w:t>
      </w:r>
    </w:p>
    <w:p>
      <w:pPr>
        <w:pStyle w:val="ListBullet"/>
      </w:pPr>
      <w:r>
        <w:rPr>
          <w:rFonts w:ascii="Calibri" w:hAnsi="Calibri"/>
          <w:b w:val="0"/>
          <w:i w:val="0"/>
          <w:color w:val="102A43"/>
          <w:sz w:val="22"/>
        </w:rPr>
        <w:t>certification normative automatisée</w:t>
      </w:r>
    </w:p>
    <w:p>
      <w:pPr>
        <w:pStyle w:val="ListBullet"/>
      </w:pPr>
      <w:r>
        <w:rPr>
          <w:rFonts w:ascii="Calibri" w:hAnsi="Calibri"/>
          <w:b w:val="0"/>
          <w:i w:val="0"/>
          <w:color w:val="102A43"/>
          <w:sz w:val="22"/>
        </w:rPr>
        <w:t>optimisation ML du routeur sans dataset réel</w:t>
      </w:r>
    </w:p>
    <w:p>
      <w:pPr>
        <w:pStyle w:val="Heading1"/>
      </w:pPr>
      <w:r>
        <w:t>4. Portefeuille de modèles et fournisseurs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7F7"/>
          </w:tcPr>
          <w:p>
            <w:pPr>
              <w:pStyle w:val="Callout"/>
              <w:widowControl/>
            </w:pPr>
            <w:r>
              <w:rPr>
                <w:rFonts w:ascii="Calibri" w:hAnsi="Calibri"/>
                <w:b/>
                <w:i w:val="0"/>
                <w:color w:val="1E5AA8"/>
                <w:sz w:val="22"/>
              </w:rPr>
              <w:t xml:space="preserve">Principe. </w:t>
            </w:r>
            <w:r>
              <w:rPr>
                <w:rFonts w:ascii="Calibri" w:hAnsi="Calibri"/>
                <w:b w:val="0"/>
                <w:i w:val="0"/>
                <w:color w:val="102A43"/>
                <w:sz w:val="22"/>
              </w:rPr>
              <w:t>Le registry est la source de vérité. Chaque modèle est admis après quatre gates : licence/contrat, localisation et données, benchmark workload, coût/latence. Un nom de modèle n’est jamais une promesse de production.</w:t>
            </w:r>
          </w:p>
        </w:tc>
      </w:tr>
    </w:tbl>
    <w:p>
      <w:pPr>
        <w:spacing w:after="20"/>
      </w:pPr>
    </w:p>
    <w:p>
      <w:pPr>
        <w:pStyle w:val="Heading2"/>
      </w:pPr>
      <w:r>
        <w:t>4.1 Lane de lancement</w:t>
      </w:r>
    </w:p>
    <w:tbl>
      <w:tblPr>
        <w:tblStyle w:val="TableGrid"/>
        <w:tblW w:type="dxa" w:w="9360"/>
        <w:jc w:val="left"/>
        <w:tblLayout w:type="fixed"/>
        <w:tblLook w:firstColumn="1" w:firstRow="1" w:lastColumn="0" w:lastRow="0" w:noHBand="0" w:noVBand="1" w:val="04A0"/>
        <w:tblInd w:w="120" w:type="dxa"/>
      </w:tblPr>
      <w:tblGrid>
        <w:gridCol w:w="1500"/>
        <w:gridCol w:w="2200"/>
        <w:gridCol w:w="3000"/>
        <w:gridCol w:w="2660"/>
      </w:tblGrid>
      <w:tr>
        <w:trPr>
          <w:tblHeader w:val="true"/>
        </w:trPr>
        <w:tc>
          <w:tcPr>
            <w:tcW w:type="dxa" w:w="1500"/>
            <w:shd w:fill="E8EEF5"/>
            <w:tcMar>
              <w:top w:w="80" w:type="dxa"/>
              <w:start w:w="120" w:type="dxa"/>
              <w:bottom w:w="80" w:type="dxa"/>
              <w:end w:w="120" w:type="dxa"/>
            </w:tcMar>
            <w:vAlign w:val="center"/>
          </w:tcPr>
          <w:p>
            <w:pPr>
              <w:widowControl/>
              <w:spacing w:after="0"/>
            </w:pPr>
            <w:r>
              <w:rPr>
                <w:rFonts w:ascii="Calibri" w:hAnsi="Calibri"/>
                <w:b/>
                <w:i w:val="0"/>
                <w:color w:val="102A43"/>
                <w:sz w:val="19"/>
              </w:rPr>
              <w:t>Lane</w:t>
            </w:r>
          </w:p>
        </w:tc>
        <w:tc>
          <w:tcPr>
            <w:tcW w:type="dxa" w:w="2200"/>
            <w:shd w:fill="E8EEF5"/>
            <w:tcMar>
              <w:top w:w="80" w:type="dxa"/>
              <w:start w:w="120" w:type="dxa"/>
              <w:bottom w:w="80" w:type="dxa"/>
              <w:end w:w="120" w:type="dxa"/>
            </w:tcMar>
            <w:vAlign w:val="center"/>
          </w:tcPr>
          <w:p>
            <w:pPr>
              <w:widowControl/>
              <w:spacing w:after="0"/>
            </w:pPr>
            <w:r>
              <w:rPr>
                <w:rFonts w:ascii="Calibri" w:hAnsi="Calibri"/>
                <w:b/>
                <w:i w:val="0"/>
                <w:color w:val="102A43"/>
                <w:sz w:val="19"/>
              </w:rPr>
              <w:t>Candidat</w:t>
            </w:r>
          </w:p>
        </w:tc>
        <w:tc>
          <w:tcPr>
            <w:tcW w:type="dxa" w:w="3000"/>
            <w:shd w:fill="E8EEF5"/>
            <w:tcMar>
              <w:top w:w="80" w:type="dxa"/>
              <w:start w:w="120" w:type="dxa"/>
              <w:bottom w:w="80" w:type="dxa"/>
              <w:end w:w="120" w:type="dxa"/>
            </w:tcMar>
            <w:vAlign w:val="center"/>
          </w:tcPr>
          <w:p>
            <w:pPr>
              <w:widowControl/>
              <w:spacing w:after="0"/>
            </w:pPr>
            <w:r>
              <w:rPr>
                <w:rFonts w:ascii="Calibri" w:hAnsi="Calibri"/>
                <w:b/>
                <w:i w:val="0"/>
                <w:color w:val="102A43"/>
                <w:sz w:val="19"/>
              </w:rPr>
              <w:t>Rôle initial</w:t>
            </w:r>
          </w:p>
        </w:tc>
        <w:tc>
          <w:tcPr>
            <w:tcW w:type="dxa" w:w="2660"/>
            <w:shd w:fill="E8EEF5"/>
            <w:tcMar>
              <w:top w:w="80" w:type="dxa"/>
              <w:start w:w="120" w:type="dxa"/>
              <w:bottom w:w="80" w:type="dxa"/>
              <w:end w:w="120" w:type="dxa"/>
            </w:tcMar>
            <w:vAlign w:val="center"/>
          </w:tcPr>
          <w:p>
            <w:pPr>
              <w:widowControl/>
              <w:spacing w:after="0"/>
            </w:pPr>
            <w:r>
              <w:rPr>
                <w:rFonts w:ascii="Calibri" w:hAnsi="Calibri"/>
                <w:b/>
                <w:i w:val="0"/>
                <w:color w:val="102A43"/>
                <w:sz w:val="19"/>
              </w:rPr>
              <w:t>Décision</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CN open-weight</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Qwen3.8-27B</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baseline locale/hostée, tâches courantes</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P0 : benchmark immédiat</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CN API économique</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DeepSeek V4 Flash</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code/agents et fallback économique</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P0 : contrat + test, prix peak/off-peak</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CN API qualité</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DeepSeek V4 Pro</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escalade agentique</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P1 : coût contrôlé</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CN frontier open-weight</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Qwen3.8-2.4T-A95B</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benchmark de plafond</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lab uniquement ; pas de self-host MVP</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EU</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Mistral + fournisseurs SecNumCloud</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route souveraine UE</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P0 selon disponibilité/contrat</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US</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Anthropic/OpenAI via contrat direct ou BYOK</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baseline qualité</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P0 pour mesure, pas dépendance unique</w:t>
            </w:r>
          </w:p>
        </w:tc>
      </w:tr>
    </w:tbl>
    <w:p>
      <w:pPr>
        <w:spacing w:after="20"/>
      </w:pPr>
    </w:p>
    <w:p>
      <w:r>
        <w:rPr>
          <w:rFonts w:ascii="Calibri" w:hAnsi="Calibri"/>
          <w:b w:val="0"/>
          <w:i w:val="0"/>
          <w:color w:val="102A43"/>
          <w:sz w:val="22"/>
        </w:rPr>
        <w:t>Les familles Step, GLM, MiMo, Kimi, MiniMax et Hunyuan restent dans le radar. Elles ne passent en production qu’après capture de la licence exacte, des conditions d’usage commercial, de la région d’hébergement et des résultats de replay.</w:t>
      </w:r>
    </w:p>
    <w:p>
      <w:pPr>
        <w:pStyle w:val="Heading2"/>
      </w:pPr>
      <w:r>
        <w:t>4.2 Discipline de release</w:t>
      </w:r>
    </w:p>
    <w:p>
      <w:pPr>
        <w:pStyle w:val="ListNumber"/>
      </w:pPr>
      <w:r>
        <w:rPr>
          <w:rFonts w:ascii="Calibri" w:hAnsi="Calibri"/>
          <w:b w:val="0"/>
          <w:i w:val="0"/>
          <w:color w:val="102A43"/>
          <w:sz w:val="22"/>
        </w:rPr>
        <w:t>Geler le modèle, le fournisseur, la région, le prix et la date dans l’AI-BOM.</w:t>
      </w:r>
    </w:p>
    <w:p>
      <w:pPr>
        <w:pStyle w:val="ListNumber"/>
      </w:pPr>
      <w:r>
        <w:rPr>
          <w:rFonts w:ascii="Calibri" w:hAnsi="Calibri"/>
          <w:b w:val="0"/>
          <w:i w:val="0"/>
          <w:color w:val="102A43"/>
          <w:sz w:val="22"/>
        </w:rPr>
        <w:t>Exécuter le workload scellé et les tests de sécurité.</w:t>
      </w:r>
    </w:p>
    <w:p>
      <w:pPr>
        <w:pStyle w:val="ListNumber"/>
      </w:pPr>
      <w:r>
        <w:rPr>
          <w:rFonts w:ascii="Calibri" w:hAnsi="Calibri"/>
          <w:b w:val="0"/>
          <w:i w:val="0"/>
          <w:color w:val="102A43"/>
          <w:sz w:val="22"/>
        </w:rPr>
        <w:t>Comparer au baseline client, pas seulement à un benchmark public.</w:t>
      </w:r>
    </w:p>
    <w:p>
      <w:pPr>
        <w:pStyle w:val="ListNumber"/>
      </w:pPr>
      <w:r>
        <w:rPr>
          <w:rFonts w:ascii="Calibri" w:hAnsi="Calibri"/>
          <w:b w:val="0"/>
          <w:i w:val="0"/>
          <w:color w:val="102A43"/>
          <w:sz w:val="22"/>
        </w:rPr>
        <w:t>Canary 5 %, puis 25 %, puis généralisation si qualité et coût passent.</w:t>
      </w:r>
    </w:p>
    <w:p>
      <w:pPr>
        <w:pStyle w:val="ListNumber"/>
      </w:pPr>
      <w:r>
        <w:rPr>
          <w:rFonts w:ascii="Calibri" w:hAnsi="Calibri"/>
          <w:b w:val="0"/>
          <w:i w:val="0"/>
          <w:color w:val="102A43"/>
          <w:sz w:val="22"/>
        </w:rPr>
        <w:t>Rejouer après toute modification de poids, endpoint, prix ou terms.</w:t>
      </w:r>
    </w:p>
    <w:p>
      <w:pPr>
        <w:pStyle w:val="Heading2"/>
      </w:pPr>
      <w:r>
        <w:t>4.3 Alternatives à OpenRouter</w:t>
      </w:r>
    </w:p>
    <w:p>
      <w:r>
        <w:rPr>
          <w:rFonts w:ascii="Calibri" w:hAnsi="Calibri"/>
          <w:b w:val="0"/>
          <w:i w:val="0"/>
          <w:color w:val="102A43"/>
          <w:sz w:val="22"/>
        </w:rPr>
        <w:t>Pour le MVP, la voie la plus libérale et contrôlable est une gateway auto-hébergée (LiteLLM OSS) reliée à des contrats directs et au BYOK client. OpenRouter peut servir au prototypage, mais ne doit pas être la fondation commerciale sans confirmation écrite de l’usage en service aval, des responsabilités sur les contenus, de la conservation et des conditions économiques.</w:t>
      </w:r>
    </w:p>
    <w:p>
      <w:pPr>
        <w:pStyle w:val="Heading1"/>
      </w:pPr>
      <w:r>
        <w:t>5. Plan de lancement</w:t>
      </w:r>
    </w:p>
    <w:p>
      <w:pPr>
        <w:pStyle w:val="Heading2"/>
      </w:pPr>
      <w:r>
        <w:t>5.1 Les 72 premières heures</w:t>
      </w:r>
    </w:p>
    <w:tbl>
      <w:tblPr>
        <w:tblStyle w:val="TableGrid"/>
        <w:tblW w:type="dxa" w:w="9360"/>
        <w:jc w:val="left"/>
        <w:tblLayout w:type="fixed"/>
        <w:tblLook w:firstColumn="1" w:firstRow="1" w:lastColumn="0" w:lastRow="0" w:noHBand="0" w:noVBand="1" w:val="04A0"/>
        <w:tblInd w:w="120" w:type="dxa"/>
      </w:tblPr>
      <w:tblGrid>
        <w:gridCol w:w="1050"/>
        <w:gridCol w:w="2800"/>
        <w:gridCol w:w="2800"/>
        <w:gridCol w:w="2710"/>
      </w:tblGrid>
      <w:tr>
        <w:trPr>
          <w:tblHeader w:val="true"/>
        </w:trPr>
        <w:tc>
          <w:tcPr>
            <w:tcW w:type="dxa" w:w="1050"/>
            <w:shd w:fill="E8EEF5"/>
            <w:tcMar>
              <w:top w:w="80" w:type="dxa"/>
              <w:start w:w="120" w:type="dxa"/>
              <w:bottom w:w="80" w:type="dxa"/>
              <w:end w:w="120" w:type="dxa"/>
            </w:tcMar>
            <w:vAlign w:val="center"/>
          </w:tcPr>
          <w:p>
            <w:pPr>
              <w:widowControl/>
              <w:spacing w:after="0"/>
            </w:pPr>
            <w:r>
              <w:rPr>
                <w:rFonts w:ascii="Calibri" w:hAnsi="Calibri"/>
                <w:b/>
                <w:i w:val="0"/>
                <w:color w:val="102A43"/>
                <w:sz w:val="19"/>
              </w:rPr>
              <w:t>Quand</w:t>
            </w:r>
          </w:p>
        </w:tc>
        <w:tc>
          <w:tcPr>
            <w:tcW w:type="dxa" w:w="2800"/>
            <w:shd w:fill="E8EEF5"/>
            <w:tcMar>
              <w:top w:w="80" w:type="dxa"/>
              <w:start w:w="120" w:type="dxa"/>
              <w:bottom w:w="80" w:type="dxa"/>
              <w:end w:w="120" w:type="dxa"/>
            </w:tcMar>
            <w:vAlign w:val="center"/>
          </w:tcPr>
          <w:p>
            <w:pPr>
              <w:widowControl/>
              <w:spacing w:after="0"/>
            </w:pPr>
            <w:r>
              <w:rPr>
                <w:rFonts w:ascii="Calibri" w:hAnsi="Calibri"/>
                <w:b/>
                <w:i w:val="0"/>
                <w:color w:val="102A43"/>
                <w:sz w:val="19"/>
              </w:rPr>
              <w:t>Produit/Tech</w:t>
            </w:r>
          </w:p>
        </w:tc>
        <w:tc>
          <w:tcPr>
            <w:tcW w:type="dxa" w:w="2800"/>
            <w:shd w:fill="E8EEF5"/>
            <w:tcMar>
              <w:top w:w="80" w:type="dxa"/>
              <w:start w:w="120" w:type="dxa"/>
              <w:bottom w:w="80" w:type="dxa"/>
              <w:end w:w="120" w:type="dxa"/>
            </w:tcMar>
            <w:vAlign w:val="center"/>
          </w:tcPr>
          <w:p>
            <w:pPr>
              <w:widowControl/>
              <w:spacing w:after="0"/>
            </w:pPr>
            <w:r>
              <w:rPr>
                <w:rFonts w:ascii="Calibri" w:hAnsi="Calibri"/>
                <w:b/>
                <w:i w:val="0"/>
                <w:color w:val="102A43"/>
                <w:sz w:val="19"/>
              </w:rPr>
              <w:t>Commercial/Marketing</w:t>
            </w:r>
          </w:p>
        </w:tc>
        <w:tc>
          <w:tcPr>
            <w:tcW w:type="dxa" w:w="2710"/>
            <w:shd w:fill="E8EEF5"/>
            <w:tcMar>
              <w:top w:w="80" w:type="dxa"/>
              <w:start w:w="120" w:type="dxa"/>
              <w:bottom w:w="80" w:type="dxa"/>
              <w:end w:w="120" w:type="dxa"/>
            </w:tcMar>
            <w:vAlign w:val="center"/>
          </w:tcPr>
          <w:p>
            <w:pPr>
              <w:widowControl/>
              <w:spacing w:after="0"/>
            </w:pPr>
            <w:r>
              <w:rPr>
                <w:rFonts w:ascii="Calibri" w:hAnsi="Calibri"/>
                <w:b/>
                <w:i w:val="0"/>
                <w:color w:val="102A43"/>
                <w:sz w:val="19"/>
              </w:rPr>
              <w:t>Legal/Ops</w:t>
            </w:r>
          </w:p>
        </w:tc>
      </w:tr>
      <w:tr>
        <w:tc>
          <w:tcPr>
            <w:tcW w:type="dxa" w:w="10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H0–H4</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Tech Lead, repo, architecture, baseline</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liste 20 design partners, landing A/B</w:t>
            </w:r>
          </w:p>
        </w:tc>
        <w:tc>
          <w:tcPr>
            <w:tcW w:type="dxa" w:w="27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owner legal, data map, liste contrats</w:t>
            </w:r>
          </w:p>
        </w:tc>
      </w:tr>
      <w:tr>
        <w:tc>
          <w:tcPr>
            <w:tcW w:type="dxa" w:w="10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H4–H12</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gateway + 2 providers + logs</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5 emails fournisseurs avant 09:15</w:t>
            </w:r>
          </w:p>
        </w:tc>
        <w:tc>
          <w:tcPr>
            <w:tcW w:type="dxa" w:w="27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clauses revente/ZDR/BYOK</w:t>
            </w:r>
          </w:p>
        </w:tc>
      </w:tr>
      <w:tr>
        <w:tc>
          <w:tcPr>
            <w:tcW w:type="dxa" w:w="10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J1</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router règles + savings meter</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10 entretiens planifiés</w:t>
            </w:r>
          </w:p>
        </w:tc>
        <w:tc>
          <w:tcPr>
            <w:tcW w:type="dxa" w:w="27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DPA et notice beta</w:t>
            </w:r>
          </w:p>
        </w:tc>
      </w:tr>
      <w:tr>
        <w:tc>
          <w:tcPr>
            <w:tcW w:type="dxa" w:w="10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J2</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verifier + dashboard minimal</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outreach fondateurs/CTO/FinOps</w:t>
            </w:r>
          </w:p>
        </w:tc>
        <w:tc>
          <w:tcPr>
            <w:tcW w:type="dxa" w:w="27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registre modèles v0</w:t>
            </w:r>
          </w:p>
        </w:tc>
      </w:tr>
      <w:tr>
        <w:tc>
          <w:tcPr>
            <w:tcW w:type="dxa" w:w="10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J3</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3 workloads E2E + demo</w:t>
            </w:r>
          </w:p>
        </w:tc>
        <w:tc>
          <w:tcPr>
            <w:tcW w:type="dxa" w:w="2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onboard 3 design partners</w:t>
            </w:r>
          </w:p>
        </w:tc>
        <w:tc>
          <w:tcPr>
            <w:tcW w:type="dxa" w:w="27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go/no-go beta privée</w:t>
            </w:r>
          </w:p>
        </w:tc>
      </w:tr>
    </w:tbl>
    <w:p>
      <w:pPr>
        <w:spacing w:after="20"/>
      </w:pPr>
    </w:p>
    <w:p>
      <w:pPr>
        <w:pStyle w:val="Heading2"/>
      </w:pPr>
      <w:r>
        <w:t>5.2 Sprint 10 jours</w:t>
      </w:r>
    </w:p>
    <w:tbl>
      <w:tblPr>
        <w:tblStyle w:val="TableGrid"/>
        <w:tblW w:type="dxa" w:w="9360"/>
        <w:jc w:val="left"/>
        <w:tblLayout w:type="fixed"/>
        <w:tblLook w:firstColumn="1" w:firstRow="1" w:lastColumn="0" w:lastRow="0" w:noHBand="0" w:noVBand="1" w:val="04A0"/>
        <w:tblInd w:w="120" w:type="dxa"/>
      </w:tblPr>
      <w:tblGrid>
        <w:gridCol w:w="900"/>
        <w:gridCol w:w="3600"/>
        <w:gridCol w:w="4860"/>
      </w:tblGrid>
      <w:tr>
        <w:trPr>
          <w:tblHeader w:val="true"/>
        </w:trPr>
        <w:tc>
          <w:tcPr>
            <w:tcW w:type="dxa" w:w="900"/>
            <w:shd w:fill="E8EEF5"/>
            <w:tcMar>
              <w:top w:w="80" w:type="dxa"/>
              <w:start w:w="120" w:type="dxa"/>
              <w:bottom w:w="80" w:type="dxa"/>
              <w:end w:w="120" w:type="dxa"/>
            </w:tcMar>
            <w:vAlign w:val="center"/>
          </w:tcPr>
          <w:p>
            <w:pPr>
              <w:widowControl/>
              <w:spacing w:after="0"/>
            </w:pPr>
            <w:r>
              <w:rPr>
                <w:rFonts w:ascii="Calibri" w:hAnsi="Calibri"/>
                <w:b/>
                <w:i w:val="0"/>
                <w:color w:val="102A43"/>
                <w:sz w:val="19"/>
              </w:rPr>
              <w:t>Jour</w:t>
            </w:r>
          </w:p>
        </w:tc>
        <w:tc>
          <w:tcPr>
            <w:tcW w:type="dxa" w:w="3600"/>
            <w:shd w:fill="E8EEF5"/>
            <w:tcMar>
              <w:top w:w="80" w:type="dxa"/>
              <w:start w:w="120" w:type="dxa"/>
              <w:bottom w:w="80" w:type="dxa"/>
              <w:end w:w="120" w:type="dxa"/>
            </w:tcMar>
            <w:vAlign w:val="center"/>
          </w:tcPr>
          <w:p>
            <w:pPr>
              <w:widowControl/>
              <w:spacing w:after="0"/>
            </w:pPr>
            <w:r>
              <w:rPr>
                <w:rFonts w:ascii="Calibri" w:hAnsi="Calibri"/>
                <w:b/>
                <w:i w:val="0"/>
                <w:color w:val="102A43"/>
                <w:sz w:val="19"/>
              </w:rPr>
              <w:t>Livrable</w:t>
            </w:r>
          </w:p>
        </w:tc>
        <w:tc>
          <w:tcPr>
            <w:tcW w:type="dxa" w:w="4860"/>
            <w:shd w:fill="E8EEF5"/>
            <w:tcMar>
              <w:top w:w="80" w:type="dxa"/>
              <w:start w:w="120" w:type="dxa"/>
              <w:bottom w:w="80" w:type="dxa"/>
              <w:end w:w="120" w:type="dxa"/>
            </w:tcMar>
            <w:vAlign w:val="center"/>
          </w:tcPr>
          <w:p>
            <w:pPr>
              <w:widowControl/>
              <w:spacing w:after="0"/>
            </w:pPr>
            <w:r>
              <w:rPr>
                <w:rFonts w:ascii="Calibri" w:hAnsi="Calibri"/>
                <w:b/>
                <w:i w:val="0"/>
                <w:color w:val="102A43"/>
                <w:sz w:val="19"/>
              </w:rPr>
              <w:t>Gate quotidien 17:30</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J1</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API et baseline de coût</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une requête de bout en bout</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J2</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Qwen + DeepSeek lane</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comparatif coût/qualité</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J3</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policy v0</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route interdite effectivement bloquée</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J4</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verifier v0</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escalade expliquée</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J5</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dashboard + export</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économie réconciliée</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J6</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design partners 1–3</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premier workload réel</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J7</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DORA Exit Test v0</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alternative rejouée</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J8</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landing gagnante</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signal conversion</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J9</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pricing test</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willingness-to-pay documentée</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J10</w:t>
            </w:r>
          </w:p>
        </w:tc>
        <w:tc>
          <w:tcPr>
            <w:tcW w:type="dxa" w:w="3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revue go/pivot/stop</w:t>
            </w:r>
          </w:p>
        </w:tc>
        <w:tc>
          <w:tcPr>
            <w:tcW w:type="dxa" w:w="4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mémo CEO d’une page</w:t>
            </w:r>
          </w:p>
        </w:tc>
      </w:tr>
    </w:tbl>
    <w:p>
      <w:pPr>
        <w:spacing w:after="20"/>
      </w:pPr>
    </w:p>
    <w:p>
      <w:pPr>
        <w:pStyle w:val="Heading2"/>
      </w:pPr>
      <w:r>
        <w:t>5.3 Jours 11 à 30</w:t>
      </w:r>
    </w:p>
    <w:p>
      <w:pPr>
        <w:pStyle w:val="ListBullet"/>
      </w:pPr>
      <w:r>
        <w:rPr>
          <w:rFonts w:ascii="Calibri" w:hAnsi="Calibri"/>
          <w:b w:val="0"/>
          <w:i w:val="0"/>
          <w:color w:val="102A43"/>
          <w:sz w:val="22"/>
        </w:rPr>
        <w:t>Porter le nombre de design partners actifs à 10, pas le nombre d’inscrits.</w:t>
      </w:r>
    </w:p>
    <w:p>
      <w:pPr>
        <w:pStyle w:val="ListBullet"/>
      </w:pPr>
      <w:r>
        <w:rPr>
          <w:rFonts w:ascii="Calibri" w:hAnsi="Calibri"/>
          <w:b w:val="0"/>
          <w:i w:val="0"/>
          <w:color w:val="102A43"/>
          <w:sz w:val="22"/>
        </w:rPr>
        <w:t>Obtenir 2–3 workloads avec économies vérifiées et critères qualité explicites.</w:t>
      </w:r>
    </w:p>
    <w:p>
      <w:pPr>
        <w:pStyle w:val="ListBullet"/>
      </w:pPr>
      <w:r>
        <w:rPr>
          <w:rFonts w:ascii="Calibri" w:hAnsi="Calibri"/>
          <w:b w:val="0"/>
          <w:i w:val="0"/>
          <w:color w:val="102A43"/>
          <w:sz w:val="22"/>
        </w:rPr>
        <w:t>Signer au moins un accord fournisseur compatible avec le service aval ou basculer en BYOK.</w:t>
      </w:r>
    </w:p>
    <w:p>
      <w:pPr>
        <w:pStyle w:val="ListBullet"/>
      </w:pPr>
      <w:r>
        <w:rPr>
          <w:rFonts w:ascii="Calibri" w:hAnsi="Calibri"/>
          <w:b w:val="0"/>
          <w:i w:val="0"/>
          <w:color w:val="102A43"/>
          <w:sz w:val="22"/>
        </w:rPr>
        <w:t>Formaliser le pack Sovereign Evidence pour banque/assurance.</w:t>
      </w:r>
    </w:p>
    <w:p>
      <w:pPr>
        <w:pStyle w:val="ListBullet"/>
      </w:pPr>
      <w:r>
        <w:rPr>
          <w:rFonts w:ascii="Calibri" w:hAnsi="Calibri"/>
          <w:b w:val="0"/>
          <w:i w:val="0"/>
          <w:color w:val="102A43"/>
          <w:sz w:val="22"/>
        </w:rPr>
        <w:t>Préparer pour le 26 septembre une démo reproductible, un DORA Exit Test et un cas client anonymisé.</w:t>
      </w:r>
    </w:p>
    <w:p>
      <w:pPr>
        <w:pStyle w:val="Heading1"/>
      </w:pPr>
      <w:r>
        <w:t>6. Go-to-market et expérimentation</w:t>
      </w:r>
    </w:p>
    <w:p>
      <w:pPr>
        <w:pStyle w:val="Heading2"/>
      </w:pPr>
      <w:r>
        <w:t>6.1 ICP</w:t>
      </w:r>
    </w:p>
    <w:tbl>
      <w:tblPr>
        <w:tblStyle w:val="TableGrid"/>
        <w:tblW w:type="dxa" w:w="9360"/>
        <w:jc w:val="left"/>
        <w:tblLayout w:type="fixed"/>
        <w:tblLook w:firstColumn="1" w:firstRow="1" w:lastColumn="0" w:lastRow="0" w:noHBand="0" w:noVBand="1" w:val="04A0"/>
        <w:tblInd w:w="120" w:type="dxa"/>
      </w:tblPr>
      <w:tblGrid>
        <w:gridCol w:w="900"/>
        <w:gridCol w:w="2400"/>
        <w:gridCol w:w="3000"/>
        <w:gridCol w:w="3060"/>
      </w:tblGrid>
      <w:tr>
        <w:trPr>
          <w:tblHeader w:val="true"/>
        </w:trPr>
        <w:tc>
          <w:tcPr>
            <w:tcW w:type="dxa" w:w="900"/>
            <w:shd w:fill="E8EEF5"/>
            <w:tcMar>
              <w:top w:w="80" w:type="dxa"/>
              <w:start w:w="120" w:type="dxa"/>
              <w:bottom w:w="80" w:type="dxa"/>
              <w:end w:w="120" w:type="dxa"/>
            </w:tcMar>
            <w:vAlign w:val="center"/>
          </w:tcPr>
          <w:p>
            <w:pPr>
              <w:widowControl/>
              <w:spacing w:after="0"/>
            </w:pPr>
            <w:r>
              <w:rPr>
                <w:rFonts w:ascii="Calibri" w:hAnsi="Calibri"/>
                <w:b/>
                <w:i w:val="0"/>
                <w:color w:val="102A43"/>
                <w:sz w:val="19"/>
              </w:rPr>
              <w:t>Priorité</w:t>
            </w:r>
          </w:p>
        </w:tc>
        <w:tc>
          <w:tcPr>
            <w:tcW w:type="dxa" w:w="2400"/>
            <w:shd w:fill="E8EEF5"/>
            <w:tcMar>
              <w:top w:w="80" w:type="dxa"/>
              <w:start w:w="120" w:type="dxa"/>
              <w:bottom w:w="80" w:type="dxa"/>
              <w:end w:w="120" w:type="dxa"/>
            </w:tcMar>
            <w:vAlign w:val="center"/>
          </w:tcPr>
          <w:p>
            <w:pPr>
              <w:widowControl/>
              <w:spacing w:after="0"/>
            </w:pPr>
            <w:r>
              <w:rPr>
                <w:rFonts w:ascii="Calibri" w:hAnsi="Calibri"/>
                <w:b/>
                <w:i w:val="0"/>
                <w:color w:val="102A43"/>
                <w:sz w:val="19"/>
              </w:rPr>
              <w:t>Profil</w:t>
            </w:r>
          </w:p>
        </w:tc>
        <w:tc>
          <w:tcPr>
            <w:tcW w:type="dxa" w:w="3000"/>
            <w:shd w:fill="E8EEF5"/>
            <w:tcMar>
              <w:top w:w="80" w:type="dxa"/>
              <w:start w:w="120" w:type="dxa"/>
              <w:bottom w:w="80" w:type="dxa"/>
              <w:end w:w="120" w:type="dxa"/>
            </w:tcMar>
            <w:vAlign w:val="center"/>
          </w:tcPr>
          <w:p>
            <w:pPr>
              <w:widowControl/>
              <w:spacing w:after="0"/>
            </w:pPr>
            <w:r>
              <w:rPr>
                <w:rFonts w:ascii="Calibri" w:hAnsi="Calibri"/>
                <w:b/>
                <w:i w:val="0"/>
                <w:color w:val="102A43"/>
                <w:sz w:val="19"/>
              </w:rPr>
              <w:t>Douleur</w:t>
            </w:r>
          </w:p>
        </w:tc>
        <w:tc>
          <w:tcPr>
            <w:tcW w:type="dxa" w:w="3060"/>
            <w:shd w:fill="E8EEF5"/>
            <w:tcMar>
              <w:top w:w="80" w:type="dxa"/>
              <w:start w:w="120" w:type="dxa"/>
              <w:bottom w:w="80" w:type="dxa"/>
              <w:end w:w="120" w:type="dxa"/>
            </w:tcMar>
            <w:vAlign w:val="center"/>
          </w:tcPr>
          <w:p>
            <w:pPr>
              <w:widowControl/>
              <w:spacing w:after="0"/>
            </w:pPr>
            <w:r>
              <w:rPr>
                <w:rFonts w:ascii="Calibri" w:hAnsi="Calibri"/>
                <w:b/>
                <w:i w:val="0"/>
                <w:color w:val="102A43"/>
                <w:sz w:val="19"/>
              </w:rPr>
              <w:t>Offre d’entrée</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P0</w:t>
            </w:r>
          </w:p>
        </w:tc>
        <w:tc>
          <w:tcPr>
            <w:tcW w:type="dxa" w:w="2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SaaS/agents avec facture LLM visible</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coût et instabilité multi-provider</w:t>
            </w:r>
          </w:p>
        </w:tc>
        <w:tc>
          <w:tcPr>
            <w:tcW w:type="dxa" w:w="30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Auto Savings beta</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P0</w:t>
            </w:r>
          </w:p>
        </w:tc>
        <w:tc>
          <w:tcPr>
            <w:tcW w:type="dxa" w:w="2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Banque/assurance UE</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souveraineté, audit, sortie fournisseur</w:t>
            </w:r>
          </w:p>
        </w:tc>
        <w:tc>
          <w:tcPr>
            <w:tcW w:type="dxa" w:w="30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Sovereign Evidence pilot</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P1</w:t>
            </w:r>
          </w:p>
        </w:tc>
        <w:tc>
          <w:tcPr>
            <w:tcW w:type="dxa" w:w="2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DSI groupe international</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régions US/CN/EU/APAC hors CN</w:t>
            </w:r>
          </w:p>
        </w:tc>
        <w:tc>
          <w:tcPr>
            <w:tcW w:type="dxa" w:w="30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policy routing workshop</w:t>
            </w:r>
          </w:p>
        </w:tc>
      </w:tr>
      <w:tr>
        <w:tc>
          <w:tcPr>
            <w:tcW w:type="dxa" w:w="9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P2</w:t>
            </w:r>
          </w:p>
        </w:tc>
        <w:tc>
          <w:tcPr>
            <w:tcW w:type="dxa" w:w="24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Grand public développeur</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une clé et facture réduite</w:t>
            </w:r>
          </w:p>
        </w:tc>
        <w:tc>
          <w:tcPr>
            <w:tcW w:type="dxa" w:w="30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free quota viral</w:t>
            </w:r>
          </w:p>
        </w:tc>
      </w:tr>
    </w:tbl>
    <w:p>
      <w:pPr>
        <w:spacing w:after="20"/>
      </w:pPr>
    </w:p>
    <w:p>
      <w:pPr>
        <w:pStyle w:val="Heading2"/>
      </w:pPr>
      <w:r>
        <w:t>6.2 Tests de message</w:t>
      </w:r>
    </w:p>
    <w:tbl>
      <w:tblPr>
        <w:tblStyle w:val="TableGrid"/>
        <w:tblW w:type="dxa" w:w="9360"/>
        <w:jc w:val="left"/>
        <w:tblLayout w:type="fixed"/>
        <w:tblLook w:firstColumn="1" w:firstRow="1" w:lastColumn="0" w:lastRow="0" w:noHBand="0" w:noVBand="1" w:val="04A0"/>
        <w:tblInd w:w="120" w:type="dxa"/>
      </w:tblPr>
      <w:tblGrid>
        <w:gridCol w:w="1500"/>
        <w:gridCol w:w="3100"/>
        <w:gridCol w:w="2100"/>
        <w:gridCol w:w="2660"/>
      </w:tblGrid>
      <w:tr>
        <w:trPr>
          <w:tblHeader w:val="true"/>
        </w:trPr>
        <w:tc>
          <w:tcPr>
            <w:tcW w:type="dxa" w:w="1500"/>
            <w:shd w:fill="E8EEF5"/>
            <w:tcMar>
              <w:top w:w="80" w:type="dxa"/>
              <w:start w:w="120" w:type="dxa"/>
              <w:bottom w:w="80" w:type="dxa"/>
              <w:end w:w="120" w:type="dxa"/>
            </w:tcMar>
            <w:vAlign w:val="center"/>
          </w:tcPr>
          <w:p>
            <w:pPr>
              <w:widowControl/>
              <w:spacing w:after="0"/>
            </w:pPr>
            <w:r>
              <w:rPr>
                <w:rFonts w:ascii="Calibri" w:hAnsi="Calibri"/>
                <w:b/>
                <w:i w:val="0"/>
                <w:color w:val="102A43"/>
                <w:sz w:val="19"/>
              </w:rPr>
              <w:t>Hypothèse</w:t>
            </w:r>
          </w:p>
        </w:tc>
        <w:tc>
          <w:tcPr>
            <w:tcW w:type="dxa" w:w="3100"/>
            <w:shd w:fill="E8EEF5"/>
            <w:tcMar>
              <w:top w:w="80" w:type="dxa"/>
              <w:start w:w="120" w:type="dxa"/>
              <w:bottom w:w="80" w:type="dxa"/>
              <w:end w:w="120" w:type="dxa"/>
            </w:tcMar>
            <w:vAlign w:val="center"/>
          </w:tcPr>
          <w:p>
            <w:pPr>
              <w:widowControl/>
              <w:spacing w:after="0"/>
            </w:pPr>
            <w:r>
              <w:rPr>
                <w:rFonts w:ascii="Calibri" w:hAnsi="Calibri"/>
                <w:b/>
                <w:i w:val="0"/>
                <w:color w:val="102A43"/>
                <w:sz w:val="19"/>
              </w:rPr>
              <w:t>Message</w:t>
            </w:r>
          </w:p>
        </w:tc>
        <w:tc>
          <w:tcPr>
            <w:tcW w:type="dxa" w:w="2100"/>
            <w:shd w:fill="E8EEF5"/>
            <w:tcMar>
              <w:top w:w="80" w:type="dxa"/>
              <w:start w:w="120" w:type="dxa"/>
              <w:bottom w:w="80" w:type="dxa"/>
              <w:end w:w="120" w:type="dxa"/>
            </w:tcMar>
            <w:vAlign w:val="center"/>
          </w:tcPr>
          <w:p>
            <w:pPr>
              <w:widowControl/>
              <w:spacing w:after="0"/>
            </w:pPr>
            <w:r>
              <w:rPr>
                <w:rFonts w:ascii="Calibri" w:hAnsi="Calibri"/>
                <w:b/>
                <w:i w:val="0"/>
                <w:color w:val="102A43"/>
                <w:sz w:val="19"/>
              </w:rPr>
              <w:t>CTA</w:t>
            </w:r>
          </w:p>
        </w:tc>
        <w:tc>
          <w:tcPr>
            <w:tcW w:type="dxa" w:w="2660"/>
            <w:shd w:fill="E8EEF5"/>
            <w:tcMar>
              <w:top w:w="80" w:type="dxa"/>
              <w:start w:w="120" w:type="dxa"/>
              <w:bottom w:w="80" w:type="dxa"/>
              <w:end w:w="120" w:type="dxa"/>
            </w:tcMar>
            <w:vAlign w:val="center"/>
          </w:tcPr>
          <w:p>
            <w:pPr>
              <w:widowControl/>
              <w:spacing w:after="0"/>
            </w:pPr>
            <w:r>
              <w:rPr>
                <w:rFonts w:ascii="Calibri" w:hAnsi="Calibri"/>
                <w:b/>
                <w:i w:val="0"/>
                <w:color w:val="102A43"/>
                <w:sz w:val="19"/>
              </w:rPr>
              <w:t>Succès 7 jours</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Économie</w:t>
            </w:r>
          </w:p>
        </w:tc>
        <w:tc>
          <w:tcPr>
            <w:tcW w:type="dxa" w:w="3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Stop overpaying for every prompt.</w:t>
            </w:r>
          </w:p>
        </w:tc>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Connecter un workload</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 8 % visite → waitlist qualifiée</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Preuve</w:t>
            </w:r>
          </w:p>
        </w:tc>
        <w:tc>
          <w:tcPr>
            <w:tcW w:type="dxa" w:w="3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Save money only when quality still passes.</w:t>
            </w:r>
          </w:p>
        </w:tc>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Voir le Verified Saving</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 5 demandes de replay</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Souveraineté</w:t>
            </w:r>
          </w:p>
        </w:tc>
        <w:tc>
          <w:tcPr>
            <w:tcW w:type="dxa" w:w="3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Know which model answered, where, and why.</w:t>
            </w:r>
          </w:p>
        </w:tc>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Réserver un audit</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 3 rendez-vous régulés</w:t>
            </w:r>
          </w:p>
        </w:tc>
      </w:tr>
    </w:tbl>
    <w:p>
      <w:pPr>
        <w:spacing w:after="20"/>
      </w:pPr>
    </w:p>
    <w:p>
      <w:pPr>
        <w:pStyle w:val="Heading2"/>
      </w:pPr>
      <w:r>
        <w:t>6.3 Boucle design partner</w:t>
      </w:r>
    </w:p>
    <w:p>
      <w:pPr>
        <w:pStyle w:val="ListNumber"/>
      </w:pPr>
      <w:r>
        <w:rPr>
          <w:rFonts w:ascii="Calibri" w:hAnsi="Calibri"/>
          <w:b w:val="0"/>
          <w:i w:val="0"/>
          <w:color w:val="102A43"/>
          <w:sz w:val="22"/>
        </w:rPr>
        <w:t>Signer un accord beta court et collecter un workload anonymisé ou synthétique représentatif.</w:t>
      </w:r>
    </w:p>
    <w:p>
      <w:pPr>
        <w:pStyle w:val="ListNumber"/>
      </w:pPr>
      <w:r>
        <w:rPr>
          <w:rFonts w:ascii="Calibri" w:hAnsi="Calibri"/>
          <w:b w:val="0"/>
          <w:i w:val="0"/>
          <w:color w:val="102A43"/>
          <w:sz w:val="22"/>
        </w:rPr>
        <w:t>Définir avec le client la baseline et les tests d’acceptation.</w:t>
      </w:r>
    </w:p>
    <w:p>
      <w:pPr>
        <w:pStyle w:val="ListNumber"/>
      </w:pPr>
      <w:r>
        <w:rPr>
          <w:rFonts w:ascii="Calibri" w:hAnsi="Calibri"/>
          <w:b w:val="0"/>
          <w:i w:val="0"/>
          <w:color w:val="102A43"/>
          <w:sz w:val="22"/>
        </w:rPr>
        <w:t>Rejouer en shadow mode ; aucun trafic production au départ.</w:t>
      </w:r>
    </w:p>
    <w:p>
      <w:pPr>
        <w:pStyle w:val="ListNumber"/>
      </w:pPr>
      <w:r>
        <w:rPr>
          <w:rFonts w:ascii="Calibri" w:hAnsi="Calibri"/>
          <w:b w:val="0"/>
          <w:i w:val="0"/>
          <w:color w:val="102A43"/>
          <w:sz w:val="22"/>
        </w:rPr>
        <w:t>Présenter coût, qualité, latence, erreurs et routes refusées.</w:t>
      </w:r>
    </w:p>
    <w:p>
      <w:pPr>
        <w:pStyle w:val="ListNumber"/>
      </w:pPr>
      <w:r>
        <w:rPr>
          <w:rFonts w:ascii="Calibri" w:hAnsi="Calibri"/>
          <w:b w:val="0"/>
          <w:i w:val="0"/>
          <w:color w:val="102A43"/>
          <w:sz w:val="22"/>
        </w:rPr>
        <w:t>Demander un seul engagement suivant : deuxième workload, referral ou pilote payé.</w:t>
      </w:r>
    </w:p>
    <w:p>
      <w:pPr>
        <w:pStyle w:val="Heading2"/>
      </w:pPr>
      <w:r>
        <w:t>6.4 Pricing à tester</w:t>
      </w:r>
    </w:p>
    <w:p>
      <w:pPr>
        <w:pStyle w:val="ListBullet"/>
      </w:pPr>
      <w:r>
        <w:rPr>
          <w:rFonts w:ascii="Calibri" w:hAnsi="Calibri"/>
          <w:b w:val="0"/>
          <w:i w:val="0"/>
          <w:color w:val="102A43"/>
          <w:sz w:val="22"/>
        </w:rPr>
        <w:t>Beta : gratuite, quota strict, BYOK préféré.</w:t>
      </w:r>
    </w:p>
    <w:p>
      <w:pPr>
        <w:pStyle w:val="ListBullet"/>
      </w:pPr>
      <w:r>
        <w:rPr>
          <w:rFonts w:ascii="Calibri" w:hAnsi="Calibri"/>
          <w:b w:val="0"/>
          <w:i w:val="0"/>
          <w:color w:val="102A43"/>
          <w:sz w:val="22"/>
        </w:rPr>
        <w:t>Team : abonnement plateforme + pass-through inference + minimum mensuel.</w:t>
      </w:r>
    </w:p>
    <w:p>
      <w:pPr>
        <w:pStyle w:val="ListBullet"/>
      </w:pPr>
      <w:r>
        <w:rPr>
          <w:rFonts w:ascii="Calibri" w:hAnsi="Calibri"/>
          <w:b w:val="0"/>
          <w:i w:val="0"/>
          <w:color w:val="102A43"/>
          <w:sz w:val="22"/>
        </w:rPr>
        <w:t>Sovereign : frais de setup/policy/evidence + abonnement + options d’audit.</w:t>
      </w:r>
    </w:p>
    <w:p>
      <w:pPr>
        <w:pStyle w:val="ListBullet"/>
      </w:pPr>
      <w:r>
        <w:rPr>
          <w:rFonts w:ascii="Calibri" w:hAnsi="Calibri"/>
          <w:b w:val="0"/>
          <w:i w:val="0"/>
          <w:color w:val="102A43"/>
          <w:sz w:val="22"/>
        </w:rPr>
        <w:t>Ne pas prendre une marge token opaque avant d’avoir sécurisé les contrats et la réconciliation.</w:t>
      </w:r>
    </w:p>
    <w:p>
      <w:pPr>
        <w:pStyle w:val="Heading1"/>
      </w:pPr>
      <w:r>
        <w:t>7. Agents marketing et intelligence de marché</w:t>
      </w:r>
    </w:p>
    <w:p>
      <w:r>
        <w:rPr>
          <w:rFonts w:ascii="Calibri" w:hAnsi="Calibri"/>
          <w:b w:val="0"/>
          <w:i w:val="0"/>
          <w:color w:val="102A43"/>
          <w:sz w:val="22"/>
        </w:rPr>
        <w:t>Les agents ne remplacent ni les interviews ni la validation juridique. Ils compressent le cycle recherche → hypothèse → campagne → synthèse et rendent le programme mesurable.</w:t>
      </w:r>
    </w:p>
    <w:tbl>
      <w:tblPr>
        <w:tblStyle w:val="TableGrid"/>
        <w:tblW w:type="dxa" w:w="9360"/>
        <w:jc w:val="left"/>
        <w:tblLayout w:type="fixed"/>
        <w:tblLook w:firstColumn="1" w:firstRow="1" w:lastColumn="0" w:lastRow="0" w:noHBand="0" w:noVBand="1" w:val="04A0"/>
        <w:tblInd w:w="120" w:type="dxa"/>
      </w:tblPr>
      <w:tblGrid>
        <w:gridCol w:w="1950"/>
        <w:gridCol w:w="2300"/>
        <w:gridCol w:w="3000"/>
        <w:gridCol w:w="2110"/>
      </w:tblGrid>
      <w:tr>
        <w:trPr>
          <w:tblHeader w:val="true"/>
        </w:trPr>
        <w:tc>
          <w:tcPr>
            <w:tcW w:type="dxa" w:w="1950"/>
            <w:shd w:fill="E8EEF5"/>
            <w:tcMar>
              <w:top w:w="80" w:type="dxa"/>
              <w:start w:w="120" w:type="dxa"/>
              <w:bottom w:w="80" w:type="dxa"/>
              <w:end w:w="120" w:type="dxa"/>
            </w:tcMar>
            <w:vAlign w:val="center"/>
          </w:tcPr>
          <w:p>
            <w:pPr>
              <w:widowControl/>
              <w:spacing w:after="0"/>
            </w:pPr>
            <w:r>
              <w:rPr>
                <w:rFonts w:ascii="Calibri" w:hAnsi="Calibri"/>
                <w:b/>
                <w:i w:val="0"/>
                <w:color w:val="102A43"/>
                <w:sz w:val="19"/>
              </w:rPr>
              <w:t>Agent</w:t>
            </w:r>
          </w:p>
        </w:tc>
        <w:tc>
          <w:tcPr>
            <w:tcW w:type="dxa" w:w="2300"/>
            <w:shd w:fill="E8EEF5"/>
            <w:tcMar>
              <w:top w:w="80" w:type="dxa"/>
              <w:start w:w="120" w:type="dxa"/>
              <w:bottom w:w="80" w:type="dxa"/>
              <w:end w:w="120" w:type="dxa"/>
            </w:tcMar>
            <w:vAlign w:val="center"/>
          </w:tcPr>
          <w:p>
            <w:pPr>
              <w:widowControl/>
              <w:spacing w:after="0"/>
            </w:pPr>
            <w:r>
              <w:rPr>
                <w:rFonts w:ascii="Calibri" w:hAnsi="Calibri"/>
                <w:b/>
                <w:i w:val="0"/>
                <w:color w:val="102A43"/>
                <w:sz w:val="19"/>
              </w:rPr>
              <w:t>Entrées</w:t>
            </w:r>
          </w:p>
        </w:tc>
        <w:tc>
          <w:tcPr>
            <w:tcW w:type="dxa" w:w="3000"/>
            <w:shd w:fill="E8EEF5"/>
            <w:tcMar>
              <w:top w:w="80" w:type="dxa"/>
              <w:start w:w="120" w:type="dxa"/>
              <w:bottom w:w="80" w:type="dxa"/>
              <w:end w:w="120" w:type="dxa"/>
            </w:tcMar>
            <w:vAlign w:val="center"/>
          </w:tcPr>
          <w:p>
            <w:pPr>
              <w:widowControl/>
              <w:spacing w:after="0"/>
            </w:pPr>
            <w:r>
              <w:rPr>
                <w:rFonts w:ascii="Calibri" w:hAnsi="Calibri"/>
                <w:b/>
                <w:i w:val="0"/>
                <w:color w:val="102A43"/>
                <w:sz w:val="19"/>
              </w:rPr>
              <w:t>Sortie quotidienne</w:t>
            </w:r>
          </w:p>
        </w:tc>
        <w:tc>
          <w:tcPr>
            <w:tcW w:type="dxa" w:w="2110"/>
            <w:shd w:fill="E8EEF5"/>
            <w:tcMar>
              <w:top w:w="80" w:type="dxa"/>
              <w:start w:w="120" w:type="dxa"/>
              <w:bottom w:w="80" w:type="dxa"/>
              <w:end w:w="120" w:type="dxa"/>
            </w:tcMar>
            <w:vAlign w:val="center"/>
          </w:tcPr>
          <w:p>
            <w:pPr>
              <w:widowControl/>
              <w:spacing w:after="0"/>
            </w:pPr>
            <w:r>
              <w:rPr>
                <w:rFonts w:ascii="Calibri" w:hAnsi="Calibri"/>
                <w:b/>
                <w:i w:val="0"/>
                <w:color w:val="102A43"/>
                <w:sz w:val="19"/>
              </w:rPr>
              <w:t>KPI</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Market Radar</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sites, annonces, prix</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changements concurrents</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délai de détection</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Chinese Model &amp; License Radar</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model cards, repos, terms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diff poids/licence/prix</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fiches vérifiées</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VoC</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entretiens, tickets, calls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objections et verbatims</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insights actionnables</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Pricing &amp; Terms</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tarifs, contrats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matrice coût/droits</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écarts détectés</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Design Partner Miner</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CRM, réseaux, signaux</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20 prospects scorés</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taux de réponse</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Feedback Synthesizer</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usage + entretiens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top 5 frictions</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temps insight → action</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Experiment Designer</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funnel + hypothèses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test suivant + seuil</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tests conclusifs</w:t>
            </w:r>
          </w:p>
        </w:tc>
      </w:tr>
      <w:tr>
        <w:tc>
          <w:tcPr>
            <w:tcW w:type="dxa" w:w="19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CEO Memo</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tous les agents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une page décisions/risques</w:t>
            </w:r>
          </w:p>
        </w:tc>
        <w:tc>
          <w:tcPr>
            <w:tcW w:type="dxa" w:w="211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décisions fermées</w:t>
            </w:r>
          </w:p>
        </w:tc>
      </w:tr>
    </w:tbl>
    <w:p>
      <w:pPr>
        <w:spacing w:after="20"/>
      </w:pPr>
    </w:p>
    <w:p>
      <w:pPr>
        <w:pStyle w:val="Heading2"/>
      </w:pPr>
      <w:r>
        <w:t>7.1 Garde-fous</w:t>
      </w:r>
    </w:p>
    <w:p>
      <w:pPr>
        <w:pStyle w:val="ListBullet"/>
      </w:pPr>
      <w:r>
        <w:rPr>
          <w:rFonts w:ascii="Calibri" w:hAnsi="Calibri"/>
          <w:b w:val="0"/>
          <w:i w:val="0"/>
          <w:color w:val="102A43"/>
          <w:sz w:val="22"/>
        </w:rPr>
        <w:t>Chaque fait externe porte URL, date et statut : officiel, secondaire ou non vérifié.</w:t>
      </w:r>
    </w:p>
    <w:p>
      <w:pPr>
        <w:pStyle w:val="ListBullet"/>
      </w:pPr>
      <w:r>
        <w:rPr>
          <w:rFonts w:ascii="Calibri" w:hAnsi="Calibri"/>
          <w:b w:val="0"/>
          <w:i w:val="0"/>
          <w:color w:val="102A43"/>
          <w:sz w:val="22"/>
        </w:rPr>
        <w:t>Aucun agent n’envoie d’email ou ne publie sans approbation humaine pendant les 30 premiers jours.</w:t>
      </w:r>
    </w:p>
    <w:p>
      <w:pPr>
        <w:pStyle w:val="ListBullet"/>
      </w:pPr>
      <w:r>
        <w:rPr>
          <w:rFonts w:ascii="Calibri" w:hAnsi="Calibri"/>
          <w:b w:val="0"/>
          <w:i w:val="0"/>
          <w:color w:val="102A43"/>
          <w:sz w:val="22"/>
        </w:rPr>
        <w:t>Les signaux faibles deviennent des hypothèses, jamais des affirmations commerciales.</w:t>
      </w:r>
    </w:p>
    <w:p>
      <w:pPr>
        <w:pStyle w:val="ListBullet"/>
      </w:pPr>
      <w:r>
        <w:rPr>
          <w:rFonts w:ascii="Calibri" w:hAnsi="Calibri"/>
          <w:b w:val="0"/>
          <w:i w:val="0"/>
          <w:color w:val="102A43"/>
          <w:sz w:val="22"/>
        </w:rPr>
        <w:t>Le CEO Memo doit fermer au maximum trois décisions par jour.</w:t>
      </w:r>
    </w:p>
    <w:p>
      <w:pPr>
        <w:pStyle w:val="Heading1"/>
      </w:pPr>
      <w:r>
        <w:t>8. Unit economics</w:t>
      </w:r>
    </w:p>
    <w:p>
      <w:pPr>
        <w:pStyle w:val="Heading2"/>
      </w:pPr>
      <w:r>
        <w:t>8.1 Modèle de calcul</w:t>
      </w:r>
    </w:p>
    <w:p>
      <w:r>
        <w:rPr>
          <w:rFonts w:ascii="Calibri" w:hAnsi="Calibri"/>
          <w:b w:val="0"/>
          <w:i w:val="0"/>
          <w:color w:val="102A43"/>
          <w:sz w:val="22"/>
        </w:rPr>
        <w:t>Contribution par requête = revenu plateforme attribué + marge d’inférence autorisée – coût fournisseur – coût de vérification – coût d’escalade – observabilité variable – support variable. Le savings meter client et le P&amp;L Kolibree doivent utiliser le même journal d’événements.</w:t>
      </w:r>
    </w:p>
    <w:tbl>
      <w:tblPr>
        <w:tblStyle w:val="TableGrid"/>
        <w:tblW w:type="dxa" w:w="9360"/>
        <w:jc w:val="left"/>
        <w:tblLayout w:type="fixed"/>
        <w:tblLook w:firstColumn="1" w:firstRow="1" w:lastColumn="0" w:lastRow="0" w:noHBand="0" w:noVBand="1" w:val="04A0"/>
        <w:tblInd w:w="120" w:type="dxa"/>
      </w:tblPr>
      <w:tblGrid>
        <w:gridCol w:w="1800"/>
        <w:gridCol w:w="2300"/>
        <w:gridCol w:w="3000"/>
        <w:gridCol w:w="2260"/>
      </w:tblGrid>
      <w:tr>
        <w:trPr>
          <w:tblHeader w:val="true"/>
        </w:trPr>
        <w:tc>
          <w:tcPr>
            <w:tcW w:type="dxa" w:w="1800"/>
            <w:shd w:fill="E8EEF5"/>
            <w:tcMar>
              <w:top w:w="80" w:type="dxa"/>
              <w:start w:w="120" w:type="dxa"/>
              <w:bottom w:w="80" w:type="dxa"/>
              <w:end w:w="120" w:type="dxa"/>
            </w:tcMar>
            <w:vAlign w:val="center"/>
          </w:tcPr>
          <w:p>
            <w:pPr>
              <w:widowControl/>
              <w:spacing w:after="0"/>
            </w:pPr>
            <w:r>
              <w:rPr>
                <w:rFonts w:ascii="Calibri" w:hAnsi="Calibri"/>
                <w:b/>
                <w:i w:val="0"/>
                <w:color w:val="102A43"/>
                <w:sz w:val="19"/>
              </w:rPr>
              <w:t>Scénario</w:t>
            </w:r>
          </w:p>
        </w:tc>
        <w:tc>
          <w:tcPr>
            <w:tcW w:type="dxa" w:w="2300"/>
            <w:shd w:fill="E8EEF5"/>
            <w:tcMar>
              <w:top w:w="80" w:type="dxa"/>
              <w:start w:w="120" w:type="dxa"/>
              <w:bottom w:w="80" w:type="dxa"/>
              <w:end w:w="120" w:type="dxa"/>
            </w:tcMar>
            <w:vAlign w:val="center"/>
          </w:tcPr>
          <w:p>
            <w:pPr>
              <w:widowControl/>
              <w:spacing w:after="0"/>
            </w:pPr>
            <w:r>
              <w:rPr>
                <w:rFonts w:ascii="Calibri" w:hAnsi="Calibri"/>
                <w:b/>
                <w:i w:val="0"/>
                <w:color w:val="102A43"/>
                <w:sz w:val="19"/>
              </w:rPr>
              <w:t>Infra fixe mensuelle</w:t>
            </w:r>
          </w:p>
        </w:tc>
        <w:tc>
          <w:tcPr>
            <w:tcW w:type="dxa" w:w="3000"/>
            <w:shd w:fill="E8EEF5"/>
            <w:tcMar>
              <w:top w:w="80" w:type="dxa"/>
              <w:start w:w="120" w:type="dxa"/>
              <w:bottom w:w="80" w:type="dxa"/>
              <w:end w:w="120" w:type="dxa"/>
            </w:tcMar>
            <w:vAlign w:val="center"/>
          </w:tcPr>
          <w:p>
            <w:pPr>
              <w:widowControl/>
              <w:spacing w:after="0"/>
            </w:pPr>
            <w:r>
              <w:rPr>
                <w:rFonts w:ascii="Calibri" w:hAnsi="Calibri"/>
                <w:b/>
                <w:i w:val="0"/>
                <w:color w:val="102A43"/>
                <w:sz w:val="19"/>
              </w:rPr>
              <w:t>Variable dominant</w:t>
            </w:r>
          </w:p>
        </w:tc>
        <w:tc>
          <w:tcPr>
            <w:tcW w:type="dxa" w:w="2260"/>
            <w:shd w:fill="E8EEF5"/>
            <w:tcMar>
              <w:top w:w="80" w:type="dxa"/>
              <w:start w:w="120" w:type="dxa"/>
              <w:bottom w:w="80" w:type="dxa"/>
              <w:end w:w="120" w:type="dxa"/>
            </w:tcMar>
            <w:vAlign w:val="center"/>
          </w:tcPr>
          <w:p>
            <w:pPr>
              <w:widowControl/>
              <w:spacing w:after="0"/>
            </w:pPr>
            <w:r>
              <w:rPr>
                <w:rFonts w:ascii="Calibri" w:hAnsi="Calibri"/>
                <w:b/>
                <w:i w:val="0"/>
                <w:color w:val="102A43"/>
                <w:sz w:val="19"/>
              </w:rPr>
              <w:t>But</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Beta technique</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300–1 000 € hors tokens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inférence et logs</w:t>
            </w:r>
          </w:p>
        </w:tc>
        <w:tc>
          <w:tcPr>
            <w:tcW w:type="dxa" w:w="2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apprendre, quota strict</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~1 M req/mois</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ordre de grandeur 3–4 k€ + inference selon mix</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tokens sortie + escalades</w:t>
            </w:r>
          </w:p>
        </w:tc>
        <w:tc>
          <w:tcPr>
            <w:tcW w:type="dxa" w:w="2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valider marge réelle</w:t>
            </w:r>
          </w:p>
        </w:tc>
      </w:tr>
      <w:tr>
        <w:tc>
          <w:tcPr>
            <w:tcW w:type="dxa" w:w="18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Sovereign pilot</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setup supérieur</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ingénierie policy/evidence</w:t>
            </w:r>
          </w:p>
        </w:tc>
        <w:tc>
          <w:tcPr>
            <w:tcW w:type="dxa" w:w="2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facturer la preuve, pas seulement les tokens</w:t>
            </w:r>
          </w:p>
        </w:tc>
      </w:tr>
    </w:tbl>
    <w:p>
      <w:pPr>
        <w:spacing w:after="20"/>
      </w:pPr>
    </w:p>
    <w:p>
      <w:pPr>
        <w:pStyle w:val="Heading2"/>
      </w:pPr>
      <w:r>
        <w:t>8.2 Sensibilités à instrumenter</w:t>
      </w:r>
    </w:p>
    <w:p>
      <w:pPr>
        <w:pStyle w:val="ListBullet"/>
      </w:pPr>
      <w:r>
        <w:rPr>
          <w:rFonts w:ascii="Calibri" w:hAnsi="Calibri"/>
          <w:b w:val="0"/>
          <w:i w:val="0"/>
          <w:color w:val="102A43"/>
          <w:sz w:val="22"/>
        </w:rPr>
        <w:t>taux d’escalade</w:t>
      </w:r>
    </w:p>
    <w:p>
      <w:pPr>
        <w:pStyle w:val="ListBullet"/>
      </w:pPr>
      <w:r>
        <w:rPr>
          <w:rFonts w:ascii="Calibri" w:hAnsi="Calibri"/>
          <w:b w:val="0"/>
          <w:i w:val="0"/>
          <w:color w:val="102A43"/>
          <w:sz w:val="22"/>
        </w:rPr>
        <w:t>ratio tokens entrée/sortie</w:t>
      </w:r>
    </w:p>
    <w:p>
      <w:pPr>
        <w:pStyle w:val="ListBullet"/>
      </w:pPr>
      <w:r>
        <w:rPr>
          <w:rFonts w:ascii="Calibri" w:hAnsi="Calibri"/>
          <w:b w:val="0"/>
          <w:i w:val="0"/>
          <w:color w:val="102A43"/>
          <w:sz w:val="22"/>
        </w:rPr>
        <w:t>cache hit rate</w:t>
      </w:r>
    </w:p>
    <w:p>
      <w:pPr>
        <w:pStyle w:val="ListBullet"/>
      </w:pPr>
      <w:r>
        <w:rPr>
          <w:rFonts w:ascii="Calibri" w:hAnsi="Calibri"/>
          <w:b w:val="0"/>
          <w:i w:val="0"/>
          <w:color w:val="102A43"/>
          <w:sz w:val="22"/>
        </w:rPr>
        <w:t>coût des verifiers</w:t>
      </w:r>
    </w:p>
    <w:p>
      <w:pPr>
        <w:pStyle w:val="ListBullet"/>
      </w:pPr>
      <w:r>
        <w:rPr>
          <w:rFonts w:ascii="Calibri" w:hAnsi="Calibri"/>
          <w:b w:val="0"/>
          <w:i w:val="0"/>
          <w:color w:val="102A43"/>
          <w:sz w:val="22"/>
        </w:rPr>
        <w:t>répartition peak/off-peak</w:t>
      </w:r>
    </w:p>
    <w:p>
      <w:pPr>
        <w:pStyle w:val="ListBullet"/>
      </w:pPr>
      <w:r>
        <w:rPr>
          <w:rFonts w:ascii="Calibri" w:hAnsi="Calibri"/>
          <w:b w:val="0"/>
          <w:i w:val="0"/>
          <w:color w:val="102A43"/>
          <w:sz w:val="22"/>
        </w:rPr>
        <w:t>latence p95</w:t>
      </w:r>
    </w:p>
    <w:p>
      <w:pPr>
        <w:pStyle w:val="ListBullet"/>
      </w:pPr>
      <w:r>
        <w:rPr>
          <w:rFonts w:ascii="Calibri" w:hAnsi="Calibri"/>
          <w:b w:val="0"/>
          <w:i w:val="0"/>
          <w:color w:val="102A43"/>
          <w:sz w:val="22"/>
        </w:rPr>
        <w:t>support par compte</w:t>
      </w:r>
    </w:p>
    <w:p>
      <w:pPr>
        <w:pStyle w:val="ListBullet"/>
      </w:pPr>
      <w:r>
        <w:rPr>
          <w:rFonts w:ascii="Calibri" w:hAnsi="Calibri"/>
          <w:b w:val="0"/>
          <w:i w:val="0"/>
          <w:color w:val="102A43"/>
          <w:sz w:val="22"/>
        </w:rPr>
        <w:t>coût de conformité et d’hébergement régional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pStyle w:val="Callout"/>
              <w:widowControl/>
            </w:pPr>
            <w:r>
              <w:rPr>
                <w:rFonts w:ascii="Calibri" w:hAnsi="Calibri"/>
                <w:b/>
                <w:i w:val="0"/>
                <w:color w:val="1E5AA8"/>
                <w:sz w:val="22"/>
              </w:rPr>
              <w:t xml:space="preserve">Règle de pricing. </w:t>
            </w:r>
            <w:r>
              <w:rPr>
                <w:rFonts w:ascii="Calibri" w:hAnsi="Calibri"/>
                <w:b w:val="0"/>
                <w:i w:val="0"/>
                <w:color w:val="102A43"/>
                <w:sz w:val="22"/>
              </w:rPr>
              <w:t>Ne jamais vendre une économie garantie supérieure à celle observée sur le workload scellé. Vendre d’abord un audit/replay, puis convertir en abonnement sur une baseline contractuelle.</w:t>
            </w:r>
          </w:p>
        </w:tc>
      </w:tr>
    </w:tbl>
    <w:p>
      <w:pPr>
        <w:spacing w:after="20"/>
      </w:pPr>
    </w:p>
    <w:p>
      <w:pPr>
        <w:pStyle w:val="Heading1"/>
      </w:pPr>
      <w:r>
        <w:t>9. Juridique, sécurité et conformité</w:t>
      </w:r>
    </w:p>
    <w:p>
      <w:pPr>
        <w:pStyle w:val="Heading2"/>
      </w:pPr>
      <w:r>
        <w:t>9.1 Gates avant trafic client</w:t>
      </w:r>
    </w:p>
    <w:tbl>
      <w:tblPr>
        <w:tblStyle w:val="TableGrid"/>
        <w:tblW w:type="dxa" w:w="9360"/>
        <w:jc w:val="left"/>
        <w:tblLayout w:type="fixed"/>
        <w:tblLook w:firstColumn="1" w:firstRow="1" w:lastColumn="0" w:lastRow="0" w:noHBand="0" w:noVBand="1" w:val="04A0"/>
        <w:tblInd w:w="120" w:type="dxa"/>
      </w:tblPr>
      <w:tblGrid>
        <w:gridCol w:w="1500"/>
        <w:gridCol w:w="2750"/>
        <w:gridCol w:w="3150"/>
        <w:gridCol w:w="1960"/>
      </w:tblGrid>
      <w:tr>
        <w:trPr>
          <w:tblHeader w:val="true"/>
        </w:trPr>
        <w:tc>
          <w:tcPr>
            <w:tcW w:type="dxa" w:w="1500"/>
            <w:shd w:fill="E8EEF5"/>
            <w:tcMar>
              <w:top w:w="80" w:type="dxa"/>
              <w:start w:w="120" w:type="dxa"/>
              <w:bottom w:w="80" w:type="dxa"/>
              <w:end w:w="120" w:type="dxa"/>
            </w:tcMar>
            <w:vAlign w:val="center"/>
          </w:tcPr>
          <w:p>
            <w:pPr>
              <w:widowControl/>
              <w:spacing w:after="0"/>
            </w:pPr>
            <w:r>
              <w:rPr>
                <w:rFonts w:ascii="Calibri" w:hAnsi="Calibri"/>
                <w:b/>
                <w:i w:val="0"/>
                <w:color w:val="102A43"/>
                <w:sz w:val="19"/>
              </w:rPr>
              <w:t>Gate</w:t>
            </w:r>
          </w:p>
        </w:tc>
        <w:tc>
          <w:tcPr>
            <w:tcW w:type="dxa" w:w="2750"/>
            <w:shd w:fill="E8EEF5"/>
            <w:tcMar>
              <w:top w:w="80" w:type="dxa"/>
              <w:start w:w="120" w:type="dxa"/>
              <w:bottom w:w="80" w:type="dxa"/>
              <w:end w:w="120" w:type="dxa"/>
            </w:tcMar>
            <w:vAlign w:val="center"/>
          </w:tcPr>
          <w:p>
            <w:pPr>
              <w:widowControl/>
              <w:spacing w:after="0"/>
            </w:pPr>
            <w:r>
              <w:rPr>
                <w:rFonts w:ascii="Calibri" w:hAnsi="Calibri"/>
                <w:b/>
                <w:i w:val="0"/>
                <w:color w:val="102A43"/>
                <w:sz w:val="19"/>
              </w:rPr>
              <w:t>Question</w:t>
            </w:r>
          </w:p>
        </w:tc>
        <w:tc>
          <w:tcPr>
            <w:tcW w:type="dxa" w:w="3150"/>
            <w:shd w:fill="E8EEF5"/>
            <w:tcMar>
              <w:top w:w="80" w:type="dxa"/>
              <w:start w:w="120" w:type="dxa"/>
              <w:bottom w:w="80" w:type="dxa"/>
              <w:end w:w="120" w:type="dxa"/>
            </w:tcMar>
            <w:vAlign w:val="center"/>
          </w:tcPr>
          <w:p>
            <w:pPr>
              <w:widowControl/>
              <w:spacing w:after="0"/>
            </w:pPr>
            <w:r>
              <w:rPr>
                <w:rFonts w:ascii="Calibri" w:hAnsi="Calibri"/>
                <w:b/>
                <w:i w:val="0"/>
                <w:color w:val="102A43"/>
                <w:sz w:val="19"/>
              </w:rPr>
              <w:t>Preuve requise</w:t>
            </w:r>
          </w:p>
        </w:tc>
        <w:tc>
          <w:tcPr>
            <w:tcW w:type="dxa" w:w="1960"/>
            <w:shd w:fill="E8EEF5"/>
            <w:tcMar>
              <w:top w:w="80" w:type="dxa"/>
              <w:start w:w="120" w:type="dxa"/>
              <w:bottom w:w="80" w:type="dxa"/>
              <w:end w:w="120" w:type="dxa"/>
            </w:tcMar>
            <w:vAlign w:val="center"/>
          </w:tcPr>
          <w:p>
            <w:pPr>
              <w:widowControl/>
              <w:spacing w:after="0"/>
            </w:pPr>
            <w:r>
              <w:rPr>
                <w:rFonts w:ascii="Calibri" w:hAnsi="Calibri"/>
                <w:b/>
                <w:i w:val="0"/>
                <w:color w:val="102A43"/>
                <w:sz w:val="19"/>
              </w:rPr>
              <w:t>Owner</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Revente/service aval</w:t>
            </w:r>
          </w:p>
        </w:tc>
        <w:tc>
          <w:tcPr>
            <w:tcW w:type="dxa" w:w="27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le contrat autorise-t-il ce montage ?</w:t>
            </w:r>
          </w:p>
        </w:tc>
        <w:tc>
          <w:tcPr>
            <w:tcW w:type="dxa" w:w="31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confirmation écrite ou BYOK</w:t>
            </w:r>
          </w:p>
        </w:tc>
        <w:tc>
          <w:tcPr>
            <w:tcW w:type="dxa" w:w="19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Legal</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Données</w:t>
            </w:r>
          </w:p>
        </w:tc>
        <w:tc>
          <w:tcPr>
            <w:tcW w:type="dxa" w:w="27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rétention, entraînement, sous-traitants, régions ?</w:t>
            </w:r>
          </w:p>
        </w:tc>
        <w:tc>
          <w:tcPr>
            <w:tcW w:type="dxa" w:w="31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DPA + configuration ZDR</w:t>
            </w:r>
          </w:p>
        </w:tc>
        <w:tc>
          <w:tcPr>
            <w:tcW w:type="dxa" w:w="19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DPO/Security</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Licence modèle</w:t>
            </w:r>
          </w:p>
        </w:tc>
        <w:tc>
          <w:tcPr>
            <w:tcW w:type="dxa" w:w="27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usage commercial, redistribution, dérivés ?</w:t>
            </w:r>
          </w:p>
        </w:tc>
        <w:tc>
          <w:tcPr>
            <w:tcW w:type="dxa" w:w="31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licence archivée et versionnée</w:t>
            </w:r>
          </w:p>
        </w:tc>
        <w:tc>
          <w:tcPr>
            <w:tcW w:type="dxa" w:w="19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Legal/AI-BOM</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AI Act</w:t>
            </w:r>
          </w:p>
        </w:tc>
        <w:tc>
          <w:tcPr>
            <w:tcW w:type="dxa" w:w="27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rôle provider/deployer et transparence ?</w:t>
            </w:r>
          </w:p>
        </w:tc>
        <w:tc>
          <w:tcPr>
            <w:tcW w:type="dxa" w:w="31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classification + notices</w:t>
            </w:r>
          </w:p>
        </w:tc>
        <w:tc>
          <w:tcPr>
            <w:tcW w:type="dxa" w:w="19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Compliance</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DORA</w:t>
            </w:r>
          </w:p>
        </w:tc>
        <w:tc>
          <w:tcPr>
            <w:tcW w:type="dxa" w:w="27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sortie, continuité, auditabilité ?</w:t>
            </w:r>
          </w:p>
        </w:tc>
        <w:tc>
          <w:tcPr>
            <w:tcW w:type="dxa" w:w="31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Exit Test + evidence export</w:t>
            </w:r>
          </w:p>
        </w:tc>
        <w:tc>
          <w:tcPr>
            <w:tcW w:type="dxa" w:w="19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Risk/Tech</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Sécurité</w:t>
            </w:r>
          </w:p>
        </w:tc>
        <w:tc>
          <w:tcPr>
            <w:tcW w:type="dxa" w:w="27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clés, isolation, abus, logs ?</w:t>
            </w:r>
          </w:p>
        </w:tc>
        <w:tc>
          <w:tcPr>
            <w:tcW w:type="dxa" w:w="315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threat model + tests</w:t>
            </w:r>
          </w:p>
        </w:tc>
        <w:tc>
          <w:tcPr>
            <w:tcW w:type="dxa" w:w="19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Security</w:t>
            </w:r>
          </w:p>
        </w:tc>
      </w:tr>
    </w:tbl>
    <w:p>
      <w:pPr>
        <w:spacing w:after="20"/>
      </w:pPr>
    </w:p>
    <w:p>
      <w:pPr>
        <w:pStyle w:val="Heading2"/>
      </w:pPr>
      <w:r>
        <w:t>9.2 Posture recommandée</w:t>
      </w:r>
    </w:p>
    <w:p>
      <w:pPr>
        <w:pStyle w:val="ListBullet"/>
      </w:pPr>
      <w:r>
        <w:rPr>
          <w:rFonts w:ascii="Calibri" w:hAnsi="Calibri"/>
          <w:b w:val="0"/>
          <w:i w:val="0"/>
          <w:color w:val="102A43"/>
          <w:sz w:val="22"/>
        </w:rPr>
        <w:t>BYOK par défaut en beta pour les providers fermés ; contrats directs avant revente à l’échelle.</w:t>
      </w:r>
    </w:p>
    <w:p>
      <w:pPr>
        <w:pStyle w:val="ListBullet"/>
      </w:pPr>
      <w:r>
        <w:rPr>
          <w:rFonts w:ascii="Calibri" w:hAnsi="Calibri"/>
          <w:b w:val="0"/>
          <w:i w:val="0"/>
          <w:color w:val="102A43"/>
          <w:sz w:val="22"/>
        </w:rPr>
        <w:t>No-training et prompt logging désactivé par défaut ; logs minimisés et pseudonymisés.</w:t>
      </w:r>
    </w:p>
    <w:p>
      <w:pPr>
        <w:pStyle w:val="ListBullet"/>
      </w:pPr>
      <w:r>
        <w:rPr>
          <w:rFonts w:ascii="Calibri" w:hAnsi="Calibri"/>
          <w:b w:val="0"/>
          <w:i w:val="0"/>
          <w:color w:val="102A43"/>
          <w:sz w:val="22"/>
        </w:rPr>
        <w:t>Policy explicite US/CN/EU/APAC hors CN ; aucun fallback silencieux hors région autorisée.</w:t>
      </w:r>
    </w:p>
    <w:p>
      <w:pPr>
        <w:pStyle w:val="ListBullet"/>
      </w:pPr>
      <w:r>
        <w:rPr>
          <w:rFonts w:ascii="Calibri" w:hAnsi="Calibri"/>
          <w:b w:val="0"/>
          <w:i w:val="0"/>
          <w:color w:val="102A43"/>
          <w:sz w:val="22"/>
        </w:rPr>
        <w:t>Notice utilisateur lorsque l’interaction avec une IA doit être divulguée ; marquage des contenus lorsque l’usage le requiert.</w:t>
      </w:r>
    </w:p>
    <w:p>
      <w:pPr>
        <w:pStyle w:val="ListBullet"/>
      </w:pPr>
      <w:r>
        <w:rPr>
          <w:rFonts w:ascii="Calibri" w:hAnsi="Calibri"/>
          <w:b w:val="0"/>
          <w:i w:val="0"/>
          <w:color w:val="102A43"/>
          <w:sz w:val="22"/>
        </w:rPr>
        <w:t>Conserver l’AI-BOM, la raison de routage, les versions et le résultat du verifier.</w:t>
      </w:r>
    </w:p>
    <w:p>
      <w:r>
        <w:rPr>
          <w:rFonts w:ascii="Calibri" w:hAnsi="Calibri"/>
          <w:b w:val="0"/>
          <w:i w:val="0"/>
          <w:color w:val="102A43"/>
          <w:sz w:val="22"/>
        </w:rPr>
        <w:t>Ce launch book ne constitue pas un avis juridique. Les conditions OpenRouter publiées le 29 juillet 2026 décrivent un service d’agrégation et peuvent évoluer ; elles ne suffisent pas, à elles seules, à valider un modèle de revente. Une confirmation écrite et l’examen des conditions de chaque fournisseur restent des gates.</w:t>
      </w:r>
    </w:p>
    <w:p>
      <w:pPr>
        <w:pStyle w:val="Heading2"/>
      </w:pPr>
      <w:r>
        <w:t>9.3 DORA Exit Test</w:t>
      </w:r>
    </w:p>
    <w:p>
      <w:pPr>
        <w:pStyle w:val="ListNumber"/>
      </w:pPr>
      <w:r>
        <w:rPr>
          <w:rFonts w:ascii="Calibri" w:hAnsi="Calibri"/>
          <w:b w:val="0"/>
          <w:i w:val="0"/>
          <w:color w:val="102A43"/>
          <w:sz w:val="22"/>
        </w:rPr>
        <w:t>Sceller un corpus et ses critères d’acceptation.</w:t>
      </w:r>
    </w:p>
    <w:p>
      <w:pPr>
        <w:pStyle w:val="ListNumber"/>
      </w:pPr>
      <w:r>
        <w:rPr>
          <w:rFonts w:ascii="Calibri" w:hAnsi="Calibri"/>
          <w:b w:val="0"/>
          <w:i w:val="0"/>
          <w:color w:val="102A43"/>
          <w:sz w:val="22"/>
        </w:rPr>
        <w:t>Exporter la configuration, l’AI-BOM et la baseline.</w:t>
      </w:r>
    </w:p>
    <w:p>
      <w:pPr>
        <w:pStyle w:val="ListNumber"/>
      </w:pPr>
      <w:r>
        <w:rPr>
          <w:rFonts w:ascii="Calibri" w:hAnsi="Calibri"/>
          <w:b w:val="0"/>
          <w:i w:val="0"/>
          <w:color w:val="102A43"/>
          <w:sz w:val="22"/>
        </w:rPr>
        <w:t>Rejouer vers une alternative autorisée.</w:t>
      </w:r>
    </w:p>
    <w:p>
      <w:pPr>
        <w:pStyle w:val="ListNumber"/>
      </w:pPr>
      <w:r>
        <w:rPr>
          <w:rFonts w:ascii="Calibri" w:hAnsi="Calibri"/>
          <w:b w:val="0"/>
          <w:i w:val="0"/>
          <w:color w:val="102A43"/>
          <w:sz w:val="22"/>
        </w:rPr>
        <w:t>Mesurer les deltas qualité, coût et latence.</w:t>
      </w:r>
    </w:p>
    <w:p>
      <w:pPr>
        <w:pStyle w:val="ListNumber"/>
      </w:pPr>
      <w:r>
        <w:rPr>
          <w:rFonts w:ascii="Calibri" w:hAnsi="Calibri"/>
          <w:b w:val="0"/>
          <w:i w:val="0"/>
          <w:color w:val="102A43"/>
          <w:sz w:val="22"/>
        </w:rPr>
        <w:t>Produire PASS/FAIL, écarts, actions et délai de bascule.</w:t>
      </w:r>
    </w:p>
    <w:p>
      <w:pPr>
        <w:pStyle w:val="Heading1"/>
      </w:pPr>
      <w:r>
        <w:t>10. Gouvernance, KPI et gates</w:t>
      </w:r>
    </w:p>
    <w:p>
      <w:pPr>
        <w:pStyle w:val="Heading2"/>
      </w:pPr>
      <w:r>
        <w:t>10.1 Owners</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E8EEF5"/>
            <w:tcMar>
              <w:top w:w="80" w:type="dxa"/>
              <w:start w:w="120" w:type="dxa"/>
              <w:bottom w:w="80" w:type="dxa"/>
              <w:end w:w="120" w:type="dxa"/>
            </w:tcMar>
            <w:vAlign w:val="center"/>
          </w:tcPr>
          <w:p>
            <w:pPr>
              <w:widowControl/>
              <w:spacing w:after="0"/>
            </w:pPr>
            <w:r>
              <w:rPr>
                <w:rFonts w:ascii="Calibri" w:hAnsi="Calibri"/>
                <w:b/>
                <w:i w:val="0"/>
                <w:color w:val="102A43"/>
                <w:sz w:val="19"/>
              </w:rPr>
              <w:t>Domaine</w:t>
            </w:r>
          </w:p>
        </w:tc>
        <w:tc>
          <w:tcPr>
            <w:tcW w:type="dxa" w:w="3000"/>
            <w:shd w:fill="E8EEF5"/>
            <w:tcMar>
              <w:top w:w="80" w:type="dxa"/>
              <w:start w:w="120" w:type="dxa"/>
              <w:bottom w:w="80" w:type="dxa"/>
              <w:end w:w="120" w:type="dxa"/>
            </w:tcMar>
            <w:vAlign w:val="center"/>
          </w:tcPr>
          <w:p>
            <w:pPr>
              <w:widowControl/>
              <w:spacing w:after="0"/>
            </w:pPr>
            <w:r>
              <w:rPr>
                <w:rFonts w:ascii="Calibri" w:hAnsi="Calibri"/>
                <w:b/>
                <w:i w:val="0"/>
                <w:color w:val="102A43"/>
                <w:sz w:val="19"/>
              </w:rPr>
              <w:t>Owner à nommer lundi</w:t>
            </w:r>
          </w:p>
        </w:tc>
        <w:tc>
          <w:tcPr>
            <w:tcW w:type="dxa" w:w="4260"/>
            <w:shd w:fill="E8EEF5"/>
            <w:tcMar>
              <w:top w:w="80" w:type="dxa"/>
              <w:start w:w="120" w:type="dxa"/>
              <w:bottom w:w="80" w:type="dxa"/>
              <w:end w:w="120" w:type="dxa"/>
            </w:tcMar>
            <w:vAlign w:val="center"/>
          </w:tcPr>
          <w:p>
            <w:pPr>
              <w:widowControl/>
              <w:spacing w:after="0"/>
            </w:pPr>
            <w:r>
              <w:rPr>
                <w:rFonts w:ascii="Calibri" w:hAnsi="Calibri"/>
                <w:b/>
                <w:i w:val="0"/>
                <w:color w:val="102A43"/>
                <w:sz w:val="19"/>
              </w:rPr>
              <w:t>Livrable hebdo</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Produit/Router</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Product Lead</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scorecard + décisions</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Engineering</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Tech Lead</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demo quotidienne + incidents</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Models/Evals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Evaluation Lead</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leaderboard workloads</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Legal/Compliance</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Legal/DPO</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registre gates</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Marketing/Growth</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Growth Lead</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funnel + tests</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Sales/Partners</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Founder/BD</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pipeline design partners</w:t>
            </w:r>
          </w:p>
        </w:tc>
      </w:tr>
      <w:tr>
        <w:tc>
          <w:tcPr>
            <w:tcW w:type="dxa" w:w="21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Finance</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FinOps</w:t>
            </w:r>
          </w:p>
        </w:tc>
        <w:tc>
          <w:tcPr>
            <w:tcW w:type="dxa" w:w="42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marge et savings réconciliés</w:t>
            </w:r>
          </w:p>
        </w:tc>
      </w:tr>
    </w:tbl>
    <w:p>
      <w:pPr>
        <w:spacing w:after="20"/>
      </w:pPr>
    </w:p>
    <w:p>
      <w:pPr>
        <w:pStyle w:val="Heading2"/>
      </w:pPr>
      <w:r>
        <w:t>10.2 Scorecard hebdomadaire</w:t>
      </w:r>
    </w:p>
    <w:tbl>
      <w:tblPr>
        <w:tblStyle w:val="TableGrid"/>
        <w:tblW w:type="dxa" w:w="9360"/>
        <w:jc w:val="left"/>
        <w:tblLayout w:type="fixed"/>
        <w:tblLook w:firstColumn="1" w:firstRow="1" w:lastColumn="0" w:lastRow="0" w:noHBand="0" w:noVBand="1" w:val="04A0"/>
        <w:tblInd w:w="120" w:type="dxa"/>
      </w:tblPr>
      <w:tblGrid>
        <w:gridCol w:w="1600"/>
        <w:gridCol w:w="3000"/>
        <w:gridCol w:w="2200"/>
        <w:gridCol w:w="2560"/>
      </w:tblGrid>
      <w:tr>
        <w:trPr>
          <w:tblHeader w:val="true"/>
        </w:trPr>
        <w:tc>
          <w:tcPr>
            <w:tcW w:type="dxa" w:w="1600"/>
            <w:shd w:fill="E8EEF5"/>
            <w:tcMar>
              <w:top w:w="80" w:type="dxa"/>
              <w:start w:w="120" w:type="dxa"/>
              <w:bottom w:w="80" w:type="dxa"/>
              <w:end w:w="120" w:type="dxa"/>
            </w:tcMar>
            <w:vAlign w:val="center"/>
          </w:tcPr>
          <w:p>
            <w:pPr>
              <w:widowControl/>
              <w:spacing w:after="0"/>
            </w:pPr>
            <w:r>
              <w:rPr>
                <w:rFonts w:ascii="Calibri" w:hAnsi="Calibri"/>
                <w:b/>
                <w:i w:val="0"/>
                <w:color w:val="102A43"/>
                <w:sz w:val="19"/>
              </w:rPr>
              <w:t>Catégorie</w:t>
            </w:r>
          </w:p>
        </w:tc>
        <w:tc>
          <w:tcPr>
            <w:tcW w:type="dxa" w:w="3000"/>
            <w:shd w:fill="E8EEF5"/>
            <w:tcMar>
              <w:top w:w="80" w:type="dxa"/>
              <w:start w:w="120" w:type="dxa"/>
              <w:bottom w:w="80" w:type="dxa"/>
              <w:end w:w="120" w:type="dxa"/>
            </w:tcMar>
            <w:vAlign w:val="center"/>
          </w:tcPr>
          <w:p>
            <w:pPr>
              <w:widowControl/>
              <w:spacing w:after="0"/>
            </w:pPr>
            <w:r>
              <w:rPr>
                <w:rFonts w:ascii="Calibri" w:hAnsi="Calibri"/>
                <w:b/>
                <w:i w:val="0"/>
                <w:color w:val="102A43"/>
                <w:sz w:val="19"/>
              </w:rPr>
              <w:t>KPI</w:t>
            </w:r>
          </w:p>
        </w:tc>
        <w:tc>
          <w:tcPr>
            <w:tcW w:type="dxa" w:w="2200"/>
            <w:shd w:fill="E8EEF5"/>
            <w:tcMar>
              <w:top w:w="80" w:type="dxa"/>
              <w:start w:w="120" w:type="dxa"/>
              <w:bottom w:w="80" w:type="dxa"/>
              <w:end w:w="120" w:type="dxa"/>
            </w:tcMar>
            <w:vAlign w:val="center"/>
          </w:tcPr>
          <w:p>
            <w:pPr>
              <w:widowControl/>
              <w:spacing w:after="0"/>
            </w:pPr>
            <w:r>
              <w:rPr>
                <w:rFonts w:ascii="Calibri" w:hAnsi="Calibri"/>
                <w:b/>
                <w:i w:val="0"/>
                <w:color w:val="102A43"/>
                <w:sz w:val="19"/>
              </w:rPr>
              <w:t>Cible J10</w:t>
            </w:r>
          </w:p>
        </w:tc>
        <w:tc>
          <w:tcPr>
            <w:tcW w:type="dxa" w:w="2560"/>
            <w:shd w:fill="E8EEF5"/>
            <w:tcMar>
              <w:top w:w="80" w:type="dxa"/>
              <w:start w:w="120" w:type="dxa"/>
              <w:bottom w:w="80" w:type="dxa"/>
              <w:end w:w="120" w:type="dxa"/>
            </w:tcMar>
            <w:vAlign w:val="center"/>
          </w:tcPr>
          <w:p>
            <w:pPr>
              <w:widowControl/>
              <w:spacing w:after="0"/>
            </w:pPr>
            <w:r>
              <w:rPr>
                <w:rFonts w:ascii="Calibri" w:hAnsi="Calibri"/>
                <w:b/>
                <w:i w:val="0"/>
                <w:color w:val="102A43"/>
                <w:sz w:val="19"/>
              </w:rPr>
              <w:t>Cible J30</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Produit</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Auto Acceptance Rate</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70 % tâches ciblées</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80 % sur workloads gagnants</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Économie</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Verified Saving</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positif sur 3 workloads</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20 % sur 2 cas</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Qualité</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régressions critiques</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0</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0</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Adoption</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design partners actifs</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3</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10</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Rétention</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2e workload / retour</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2</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50 % actifs</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Commercial</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pilotes payants</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0–1</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2 LOI ou pilotes</w:t>
            </w:r>
          </w:p>
        </w:tc>
      </w:tr>
      <w:tr>
        <w:tc>
          <w:tcPr>
            <w:tcW w:type="dxa" w:w="16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Juridique</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routes contractuellement sûres</w:t>
            </w:r>
          </w:p>
        </w:tc>
        <w:tc>
          <w:tcPr>
            <w:tcW w:type="dxa" w:w="22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 2</w:t>
            </w:r>
          </w:p>
        </w:tc>
        <w:tc>
          <w:tcPr>
            <w:tcW w:type="dxa" w:w="25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7"/>
              </w:rPr>
              <w:t>toutes routes commercialisées</w:t>
            </w:r>
          </w:p>
        </w:tc>
      </w:tr>
    </w:tbl>
    <w:p>
      <w:pPr>
        <w:spacing w:after="20"/>
      </w:pPr>
    </w:p>
    <w:p>
      <w:pPr>
        <w:pStyle w:val="Heading2"/>
      </w:pPr>
      <w:r>
        <w:t>10.3 Go / pivot / stop à J30</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8EEF5"/>
            <w:tcMar>
              <w:top w:w="80" w:type="dxa"/>
              <w:start w:w="120" w:type="dxa"/>
              <w:bottom w:w="80" w:type="dxa"/>
              <w:end w:w="120" w:type="dxa"/>
            </w:tcMar>
            <w:vAlign w:val="center"/>
          </w:tcPr>
          <w:p>
            <w:pPr>
              <w:widowControl/>
              <w:spacing w:after="0"/>
            </w:pPr>
            <w:r>
              <w:rPr>
                <w:rFonts w:ascii="Calibri" w:hAnsi="Calibri"/>
                <w:b/>
                <w:i w:val="0"/>
                <w:color w:val="102A43"/>
                <w:sz w:val="19"/>
              </w:rPr>
              <w:t>Décision</w:t>
            </w:r>
          </w:p>
        </w:tc>
        <w:tc>
          <w:tcPr>
            <w:tcW w:type="dxa" w:w="7860"/>
            <w:shd w:fill="E8EEF5"/>
            <w:tcMar>
              <w:top w:w="80" w:type="dxa"/>
              <w:start w:w="120" w:type="dxa"/>
              <w:bottom w:w="80" w:type="dxa"/>
              <w:end w:w="120" w:type="dxa"/>
            </w:tcMar>
            <w:vAlign w:val="center"/>
          </w:tcPr>
          <w:p>
            <w:pPr>
              <w:widowControl/>
              <w:spacing w:after="0"/>
            </w:pPr>
            <w:r>
              <w:rPr>
                <w:rFonts w:ascii="Calibri" w:hAnsi="Calibri"/>
                <w:b/>
                <w:i w:val="0"/>
                <w:color w:val="102A43"/>
                <w:sz w:val="19"/>
              </w:rPr>
              <w:t>Conditions</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GO</w:t>
            </w:r>
          </w:p>
        </w:tc>
        <w:tc>
          <w:tcPr>
            <w:tcW w:type="dxa" w:w="7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2–3 workloads avec économies vérifiées ; qualité acceptée ; rétention ; route juridiquement exploitable ; marge crédible.</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PIVOT</w:t>
            </w:r>
          </w:p>
        </w:tc>
        <w:tc>
          <w:tcPr>
            <w:tcW w:type="dxa" w:w="7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valeur forte sur souveraineté/evidence mais faible sur savings, ou inversement ; concentrer un seul wedge.</w:t>
            </w:r>
          </w:p>
        </w:tc>
      </w:tr>
      <w:tr>
        <w:tc>
          <w:tcPr>
            <w:tcW w:type="dxa" w:w="15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STOP</w:t>
            </w:r>
          </w:p>
        </w:tc>
        <w:tc>
          <w:tcPr>
            <w:tcW w:type="dxa" w:w="78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8"/>
              </w:rPr>
              <w:t>économies non reproductibles, escalades trop fréquentes, absence de droit commercial viable ou aucune rétention.</w:t>
            </w:r>
          </w:p>
        </w:tc>
      </w:tr>
    </w:tbl>
    <w:p>
      <w:pPr>
        <w:spacing w:after="20"/>
      </w:pPr>
    </w:p>
    <w:p>
      <w:pPr>
        <w:pStyle w:val="Heading1"/>
      </w:pPr>
      <w:r>
        <w:t>Annexe A — Messages prêts à tester</w:t>
      </w:r>
    </w:p>
    <w:p>
      <w:pPr>
        <w:pStyle w:val="Heading2"/>
      </w:pPr>
      <w:r>
        <w:t>Landing A — Auto Savings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7F7"/>
          </w:tcPr>
          <w:p>
            <w:pPr>
              <w:pStyle w:val="Callout"/>
              <w:widowControl/>
            </w:pPr>
            <w:r>
              <w:rPr>
                <w:rFonts w:ascii="Calibri" w:hAnsi="Calibri"/>
                <w:b/>
                <w:i w:val="0"/>
                <w:color w:val="1E5AA8"/>
                <w:sz w:val="22"/>
              </w:rPr>
              <w:t xml:space="preserve">Headline </w:t>
            </w:r>
            <w:r>
              <w:rPr>
                <w:rFonts w:ascii="Calibri" w:hAnsi="Calibri"/>
                <w:b w:val="0"/>
                <w:i w:val="0"/>
                <w:color w:val="102A43"/>
                <w:sz w:val="22"/>
              </w:rPr>
              <w:t>One API. The right model. A lower bill — only when quality still passes.</w:t>
            </w:r>
          </w:p>
        </w:tc>
      </w:tr>
    </w:tbl>
    <w:p>
      <w:pPr>
        <w:spacing w:after="20"/>
      </w:pPr>
    </w:p>
    <w:p>
      <w:r>
        <w:rPr>
          <w:rFonts w:ascii="Calibri" w:hAnsi="Calibri"/>
          <w:b w:val="0"/>
          <w:i w:val="0"/>
          <w:color w:val="102A43"/>
          <w:sz w:val="22"/>
        </w:rPr>
        <w:t>Sous-titre : Replace hard-coded model choices with automatic routing, verification and transparent savings. OpenAI-compatible in minutes.</w:t>
      </w:r>
    </w:p>
    <w:p>
      <w:r>
        <w:rPr>
          <w:rFonts w:ascii="Calibri" w:hAnsi="Calibri"/>
          <w:b w:val="0"/>
          <w:i w:val="0"/>
          <w:color w:val="102A43"/>
          <w:sz w:val="22"/>
        </w:rPr>
        <w:t>CTA primaire : Replay my workload. CTA secondaire : See how Verified Saving works.</w:t>
      </w:r>
    </w:p>
    <w:p>
      <w:pPr>
        <w:pStyle w:val="Heading2"/>
      </w:pPr>
      <w:r>
        <w:t>Landing B — Sovereign Evidence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7F7"/>
          </w:tcPr>
          <w:p>
            <w:pPr>
              <w:pStyle w:val="Callout"/>
              <w:widowControl/>
            </w:pPr>
            <w:r>
              <w:rPr>
                <w:rFonts w:ascii="Calibri" w:hAnsi="Calibri"/>
                <w:b/>
                <w:i w:val="0"/>
                <w:color w:val="1E5AA8"/>
                <w:sz w:val="22"/>
              </w:rPr>
              <w:t xml:space="preserve">Headline </w:t>
            </w:r>
            <w:r>
              <w:rPr>
                <w:rFonts w:ascii="Calibri" w:hAnsi="Calibri"/>
                <w:b w:val="0"/>
                <w:i w:val="0"/>
                <w:color w:val="102A43"/>
                <w:sz w:val="22"/>
              </w:rPr>
              <w:t>Know which model answered, where it ran, and how to exit.</w:t>
            </w:r>
          </w:p>
        </w:tc>
      </w:tr>
    </w:tbl>
    <w:p>
      <w:pPr>
        <w:spacing w:after="20"/>
      </w:pPr>
    </w:p>
    <w:p>
      <w:r>
        <w:rPr>
          <w:rFonts w:ascii="Calibri" w:hAnsi="Calibri"/>
          <w:b w:val="0"/>
          <w:i w:val="0"/>
          <w:color w:val="102A43"/>
          <w:sz w:val="22"/>
        </w:rPr>
        <w:t>Sous-titre : Policy-based routing, AI-BOM, evidence exports and a repeatable DORA Exit Test for regulated AI.</w:t>
      </w:r>
    </w:p>
    <w:p>
      <w:r>
        <w:rPr>
          <w:rFonts w:ascii="Calibri" w:hAnsi="Calibri"/>
          <w:b w:val="0"/>
          <w:i w:val="0"/>
          <w:color w:val="102A43"/>
          <w:sz w:val="22"/>
        </w:rPr>
        <w:t>CTA primaire : Book a sovereign routing audit.</w:t>
      </w:r>
    </w:p>
    <w:p>
      <w:pPr>
        <w:pStyle w:val="Heading2"/>
      </w:pPr>
      <w:r>
        <w:t>Pitch 30 secondes</w:t>
      </w:r>
    </w:p>
    <w:p>
      <w:r>
        <w:rPr>
          <w:rFonts w:ascii="Calibri" w:hAnsi="Calibri"/>
          <w:b w:val="0"/>
          <w:i w:val="0"/>
          <w:color w:val="102A43"/>
          <w:sz w:val="22"/>
        </w:rPr>
        <w:t>Kolibree remplace le choix manuel d’un modèle par une API compatible OpenAI qui sélectionne la route admissible la moins chère, vérifie le résultat et prouve l’économie. Pour les entreprises régulées, la même couche applique les politiques de souveraineté, produit l’AI-BOM et démontre qu’une sortie fournisseur fonctionne réellement.</w:t>
      </w:r>
    </w:p>
    <w:p>
      <w:pPr>
        <w:pStyle w:val="Heading1"/>
      </w:pPr>
      <w:r>
        <w:t>Annexe B — Emails de lundi</w:t>
      </w:r>
    </w:p>
    <w:p>
      <w:pPr>
        <w:pStyle w:val="Heading2"/>
      </w:pPr>
      <w:r>
        <w:t>Email fournisseur</w:t>
      </w:r>
    </w:p>
    <w:p>
      <w:r>
        <w:rPr>
          <w:rFonts w:ascii="Calibri" w:hAnsi="Calibri"/>
          <w:b w:val="0"/>
          <w:i w:val="0"/>
          <w:color w:val="102A43"/>
          <w:sz w:val="22"/>
        </w:rPr>
        <w:t>Objet : Commercial inference and downstream routing terms — Kolibree.AI</w:t>
      </w:r>
    </w:p>
    <w:p>
      <w:r>
        <w:rPr>
          <w:rFonts w:ascii="Calibri" w:hAnsi="Calibri"/>
          <w:b w:val="0"/>
          <w:i w:val="0"/>
          <w:color w:val="102A43"/>
          <w:sz w:val="22"/>
        </w:rPr>
        <w:t>Bonjour,</w:t>
        <w:br/>
        <w:br/>
        <w:t>Kolibree.AI lance une beta privée d’une API de routage et de vérification pour des clients européens. Nous souhaitons évaluer votre offre comme route de production. Merci de confirmer par écrit : (1) l’autorisation d’intégrer votre inference dans un service aval facturé, (2) les options zero-data-retention/no-training, (3) les régions disponibles et sous-traitants, (4) les limites et remises volume, (5) les règles de marque et d’attribution, et (6) les engagements de continuité/export.</w:t>
        <w:br/>
        <w:br/>
        <w:t>Nous pouvons partager notre architecture et nos volumes de beta sous NDA. Seriez-vous disponible cette semaine ?</w:t>
        <w:br/>
        <w:br/>
        <w:t>Bien cordialement,</w:t>
        <w:br/>
        <w:t>Kolibree.AI</w:t>
      </w:r>
    </w:p>
    <w:p>
      <w:pPr>
        <w:pStyle w:val="Heading2"/>
      </w:pPr>
      <w:r>
        <w:t>Email design partner</w:t>
      </w:r>
    </w:p>
    <w:p>
      <w:r>
        <w:rPr>
          <w:rFonts w:ascii="Calibri" w:hAnsi="Calibri"/>
          <w:b w:val="0"/>
          <w:i w:val="0"/>
          <w:color w:val="102A43"/>
          <w:sz w:val="22"/>
        </w:rPr>
        <w:t>Objet : Réduire votre facture LLM sans dégrader la qualité — pilote mesuré</w:t>
      </w:r>
    </w:p>
    <w:p>
      <w:r>
        <w:rPr>
          <w:rFonts w:ascii="Calibri" w:hAnsi="Calibri"/>
          <w:b w:val="0"/>
          <w:i w:val="0"/>
          <w:color w:val="102A43"/>
          <w:sz w:val="22"/>
        </w:rPr>
        <w:t>Bonjour,</w:t>
        <w:br/>
        <w:br/>
        <w:t>Nous lançons un pilote limité de Kolibree Auto. Nous rejouons un workload représentatif contre votre baseline, choisissons automatiquement la route admissible et ne comptons comme économie que les réponses qui passent vos tests. Le pilote fonctionne d’abord en shadow mode et peut utiliser vos propres clés.</w:t>
        <w:br/>
        <w:br/>
        <w:t>En échange d’un feedback rapide, nous fournissons sous dix jours un rapport coût/qualité/latence, un AI-BOM et les routes d’escalade. Avez-vous un workload récurrent et mesurable à tester ?</w:t>
        <w:br/>
        <w:br/>
        <w:t>Bien cordialement,</w:t>
        <w:br/>
        <w:t>Kolibree.AI</w:t>
      </w:r>
    </w:p>
    <w:p>
      <w:pPr>
        <w:pStyle w:val="Heading1"/>
      </w:pPr>
      <w:r>
        <w:t>Annexe C — Checklist lundi matin</w:t>
      </w:r>
    </w:p>
    <w:p>
      <w:pPr>
        <w:pStyle w:val="ListBullet"/>
      </w:pPr>
      <w:r>
        <w:rPr>
          <w:rFonts w:ascii="Calibri" w:hAnsi="Calibri"/>
          <w:b w:val="0"/>
          <w:i w:val="0"/>
          <w:color w:val="102A43"/>
          <w:sz w:val="22"/>
        </w:rPr>
        <w:t>☐ 08:30 — Nommer Product Lead, Tech Lead, Growth Lead, Legal/DPO et FinOps.</w:t>
      </w:r>
    </w:p>
    <w:p>
      <w:pPr>
        <w:pStyle w:val="ListBullet"/>
      </w:pPr>
      <w:r>
        <w:rPr>
          <w:rFonts w:ascii="Calibri" w:hAnsi="Calibri"/>
          <w:b w:val="0"/>
          <w:i w:val="0"/>
          <w:color w:val="102A43"/>
          <w:sz w:val="22"/>
        </w:rPr>
        <w:t>☐ 08:45 — Confirmer Qwen3.8-27B comme baseline de test, pas comme promesse production.</w:t>
      </w:r>
    </w:p>
    <w:p>
      <w:pPr>
        <w:pStyle w:val="ListBullet"/>
      </w:pPr>
      <w:r>
        <w:rPr>
          <w:rFonts w:ascii="Calibri" w:hAnsi="Calibri"/>
          <w:b w:val="0"/>
          <w:i w:val="0"/>
          <w:color w:val="102A43"/>
          <w:sz w:val="22"/>
        </w:rPr>
        <w:t>☐ 09:00 — Geler la définition Spend Saved / Verified Saving et le baseline workload.</w:t>
      </w:r>
    </w:p>
    <w:p>
      <w:pPr>
        <w:pStyle w:val="ListBullet"/>
      </w:pPr>
      <w:r>
        <w:rPr>
          <w:rFonts w:ascii="Calibri" w:hAnsi="Calibri"/>
          <w:b w:val="0"/>
          <w:i w:val="0"/>
          <w:color w:val="102A43"/>
          <w:sz w:val="22"/>
        </w:rPr>
        <w:t>☐ 09:15 — Envoyer les emails Nebius, Vercel, RunPod, Anthropic et Mistral.</w:t>
      </w:r>
    </w:p>
    <w:p>
      <w:pPr>
        <w:pStyle w:val="ListBullet"/>
      </w:pPr>
      <w:r>
        <w:rPr>
          <w:rFonts w:ascii="Calibri" w:hAnsi="Calibri"/>
          <w:b w:val="0"/>
          <w:i w:val="0"/>
          <w:color w:val="102A43"/>
          <w:sz w:val="22"/>
        </w:rPr>
        <w:t>☐ 10:00 — Ouvrir le repo MVP, le registre AI-BOM et le journal de décisions.</w:t>
      </w:r>
    </w:p>
    <w:p>
      <w:pPr>
        <w:pStyle w:val="ListBullet"/>
      </w:pPr>
      <w:r>
        <w:rPr>
          <w:rFonts w:ascii="Calibri" w:hAnsi="Calibri"/>
          <w:b w:val="0"/>
          <w:i w:val="0"/>
          <w:color w:val="102A43"/>
          <w:sz w:val="22"/>
        </w:rPr>
        <w:t>☐ 11:00 — Valider les landing pages A/B et l’instrumentation.</w:t>
      </w:r>
    </w:p>
    <w:p>
      <w:pPr>
        <w:pStyle w:val="ListBullet"/>
      </w:pPr>
      <w:r>
        <w:rPr>
          <w:rFonts w:ascii="Calibri" w:hAnsi="Calibri"/>
          <w:b w:val="0"/>
          <w:i w:val="0"/>
          <w:color w:val="102A43"/>
          <w:sz w:val="22"/>
        </w:rPr>
        <w:t>☐ 12:00 — Scorer 20 design partners et contacter les 10 premiers.</w:t>
      </w:r>
    </w:p>
    <w:p>
      <w:pPr>
        <w:pStyle w:val="ListBullet"/>
      </w:pPr>
      <w:r>
        <w:rPr>
          <w:rFonts w:ascii="Calibri" w:hAnsi="Calibri"/>
          <w:b w:val="0"/>
          <w:i w:val="0"/>
          <w:color w:val="102A43"/>
          <w:sz w:val="22"/>
        </w:rPr>
        <w:t>☐ 14:00 — Activer Market Radar, Chinese Model &amp; License Radar et CEO Memo.</w:t>
      </w:r>
    </w:p>
    <w:p>
      <w:pPr>
        <w:pStyle w:val="ListBullet"/>
      </w:pPr>
      <w:r>
        <w:rPr>
          <w:rFonts w:ascii="Calibri" w:hAnsi="Calibri"/>
          <w:b w:val="0"/>
          <w:i w:val="0"/>
          <w:color w:val="102A43"/>
          <w:sz w:val="22"/>
        </w:rPr>
        <w:t>☐ 16:00 — Test end-to-end sur un workload interne.</w:t>
      </w:r>
    </w:p>
    <w:p>
      <w:pPr>
        <w:pStyle w:val="ListBullet"/>
      </w:pPr>
      <w:r>
        <w:rPr>
          <w:rFonts w:ascii="Calibri" w:hAnsi="Calibri"/>
          <w:b w:val="0"/>
          <w:i w:val="0"/>
          <w:color w:val="102A43"/>
          <w:sz w:val="22"/>
        </w:rPr>
        <w:t>☐ 17:30 — Demo quotidienne : métrique, blocage, décision du lendemain.</w:t>
      </w:r>
    </w:p>
    <w:p>
      <w:pPr>
        <w:pStyle w:val="Heading1"/>
      </w:pPr>
      <w:r>
        <w:t>Annexe D — Sources vérifiées au 19 août 2026</w:t>
      </w:r>
    </w:p>
    <w:tbl>
      <w:tblPr>
        <w:tblStyle w:val="TableGrid"/>
        <w:tblW w:type="dxa" w:w="9360"/>
        <w:jc w:val="left"/>
        <w:tblLayout w:type="fixed"/>
        <w:tblLook w:firstColumn="1" w:firstRow="1" w:lastColumn="0" w:lastRow="0" w:noHBand="0" w:noVBand="1" w:val="04A0"/>
        <w:tblInd w:w="120" w:type="dxa"/>
      </w:tblPr>
      <w:tblGrid>
        <w:gridCol w:w="2300"/>
        <w:gridCol w:w="4300"/>
        <w:gridCol w:w="2760"/>
      </w:tblGrid>
      <w:tr>
        <w:trPr>
          <w:tblHeader w:val="true"/>
        </w:trPr>
        <w:tc>
          <w:tcPr>
            <w:tcW w:type="dxa" w:w="2300"/>
            <w:shd w:fill="E8EEF5"/>
            <w:tcMar>
              <w:top w:w="80" w:type="dxa"/>
              <w:start w:w="120" w:type="dxa"/>
              <w:bottom w:w="80" w:type="dxa"/>
              <w:end w:w="120" w:type="dxa"/>
            </w:tcMar>
            <w:vAlign w:val="center"/>
          </w:tcPr>
          <w:p>
            <w:pPr>
              <w:widowControl/>
              <w:spacing w:after="0"/>
            </w:pPr>
            <w:r>
              <w:rPr>
                <w:rFonts w:ascii="Calibri" w:hAnsi="Calibri"/>
                <w:b/>
                <w:i w:val="0"/>
                <w:color w:val="102A43"/>
                <w:sz w:val="19"/>
              </w:rPr>
              <w:t>Source</w:t>
            </w:r>
          </w:p>
        </w:tc>
        <w:tc>
          <w:tcPr>
            <w:tcW w:type="dxa" w:w="4300"/>
            <w:shd w:fill="E8EEF5"/>
            <w:tcMar>
              <w:top w:w="80" w:type="dxa"/>
              <w:start w:w="120" w:type="dxa"/>
              <w:bottom w:w="80" w:type="dxa"/>
              <w:end w:w="120" w:type="dxa"/>
            </w:tcMar>
            <w:vAlign w:val="center"/>
          </w:tcPr>
          <w:p>
            <w:pPr>
              <w:widowControl/>
              <w:spacing w:after="0"/>
            </w:pPr>
            <w:r>
              <w:rPr>
                <w:rFonts w:ascii="Calibri" w:hAnsi="Calibri"/>
                <w:b/>
                <w:i w:val="0"/>
                <w:color w:val="102A43"/>
                <w:sz w:val="19"/>
              </w:rPr>
              <w:t>URL</w:t>
            </w:r>
          </w:p>
        </w:tc>
        <w:tc>
          <w:tcPr>
            <w:tcW w:type="dxa" w:w="2760"/>
            <w:shd w:fill="E8EEF5"/>
            <w:tcMar>
              <w:top w:w="80" w:type="dxa"/>
              <w:start w:w="120" w:type="dxa"/>
              <w:bottom w:w="80" w:type="dxa"/>
              <w:end w:w="120" w:type="dxa"/>
            </w:tcMar>
            <w:vAlign w:val="center"/>
          </w:tcPr>
          <w:p>
            <w:pPr>
              <w:widowControl/>
              <w:spacing w:after="0"/>
            </w:pPr>
            <w:r>
              <w:rPr>
                <w:rFonts w:ascii="Calibri" w:hAnsi="Calibri"/>
                <w:b/>
                <w:i w:val="0"/>
                <w:color w:val="102A43"/>
                <w:sz w:val="19"/>
              </w:rPr>
              <w:t>Usage</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Qwen3.8-27B model card</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https://huggingface.co/Qwen/Qwen3.8-27B</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poids et compatibilité de déploiement</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Qwen3.8-2.4T-A95B model card</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https://huggingface.co/Qwen/Qwen3.8-2.4T-A95B</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poids frontier ; lab uniquement au MVP</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Qwen3.8 repository</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https://github.com/QwenLM/Qwen3.8</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repository et licence à archiver par modèle</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DeepSeek API changelog</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https://api-docs.deepseek.com/updates/</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V4 Flash/Pro, formats API et prix peak/off-peak</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LiteLLM documentation</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https://docs.litellm.ai/</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gateway OSS, providers, budgets et fallbacks</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OpenRouter Terms</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https://openrouter.ai/terms</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terms datés du 29 juillet 2026 ; revue contractuelle requise</w:t>
            </w:r>
          </w:p>
        </w:tc>
      </w:tr>
      <w:tr>
        <w:tc>
          <w:tcPr>
            <w:tcW w:type="dxa" w:w="2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Commission européenne — AI Act</w:t>
            </w:r>
          </w:p>
        </w:tc>
        <w:tc>
          <w:tcPr>
            <w:tcW w:type="dxa" w:w="430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https://digital-strategy.ec.europa.eu/en/policies/regulatory-framework-ai</w:t>
            </w:r>
          </w:p>
        </w:tc>
        <w:tc>
          <w:tcPr>
            <w:tcW w:type="dxa" w:w="2760"/>
            <w:tcMar>
              <w:top w:w="80" w:type="dxa"/>
              <w:start w:w="120" w:type="dxa"/>
              <w:bottom w:w="80" w:type="dxa"/>
              <w:end w:w="120" w:type="dxa"/>
            </w:tcMar>
            <w:vAlign w:val="center"/>
          </w:tcPr>
          <w:p>
            <w:pPr>
              <w:widowControl/>
              <w:spacing w:after="0" w:line="259" w:lineRule="auto"/>
            </w:pPr>
            <w:r>
              <w:rPr>
                <w:rFonts w:ascii="Calibri" w:hAnsi="Calibri"/>
                <w:b w:val="0"/>
                <w:i w:val="0"/>
                <w:color w:val="102A43"/>
                <w:sz w:val="16"/>
              </w:rPr>
              <w:t>calendrier, transparence et enforcement</w:t>
            </w:r>
          </w:p>
        </w:tc>
      </w:tr>
    </w:tbl>
    <w:p>
      <w:pPr>
        <w:spacing w:after="20"/>
      </w:pPr>
    </w:p>
    <w:p>
      <w:r>
        <w:rPr>
          <w:rFonts w:ascii="Calibri" w:hAnsi="Calibri"/>
          <w:b w:val="0"/>
          <w:i w:val="0"/>
          <w:color w:val="102A43"/>
          <w:sz w:val="22"/>
        </w:rPr>
        <w:t>Les prix, licences et conditions contractuelles évoluent. Le registry/AI-BOM doit enregistrer la version et la date de chaque source. Toute donnée non officielle reste une hypothèse jusqu’à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66573"/>
        <w:sz w:val="17"/>
      </w:rPr>
      <w:t xml:space="preserve">Launchbook v2  •  19 août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66573"/>
        <w:sz w:val="17"/>
      </w:rPr>
      <w:t>KOLIBREE.AI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1E5AA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E5A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6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02A4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02A4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76" w:lineRule="auto"/>
      <w:ind w:left="259" w:right="259"/>
    </w:pPr>
    <w:rPr>
      <w:rFonts w:ascii="Calibri" w:hAnsi="Calibri"/>
      <w:color w:val="102A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Kolibree Auto Sovereign Router — Launchbook v2</dc:title>
  <dc:subject>Plan opérationnel de lancement 30 jours</dc:subject>
  <dc:creator>Kolibree.AI</dc:creator>
  <cp:keywords>AI routing, sovereign AI, FinOps, AI-BOM, DORA, launch</cp:keywords>
  <dc:description>generated by python-docx</dc:description>
  <cp:lastModifiedBy/>
  <cp:revision>1</cp:revision>
  <dcterms:created xsi:type="dcterms:W3CDTF">2013-12-23T23:15:00Z</dcterms:created>
  <dcterms:modified xsi:type="dcterms:W3CDTF">2013-12-23T23:15:00Z</dcterms:modified>
  <cp:category/>
</cp:coreProperties>
</file>