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159A9C"/>
          <w:sz w:val="22"/>
        </w:rPr>
        <w:t>ENTREPRISES RÉGULÉES</w:t>
      </w:r>
    </w:p>
    <w:p>
      <w:pPr>
        <w:pStyle w:val="Title"/>
        <w:jc w:val="center"/>
      </w:pPr>
      <w:r>
        <w:rPr>
          <w:rFonts w:ascii="Calibri" w:hAnsi="Calibri"/>
          <w:b/>
          <w:i w:val="0"/>
          <w:color w:val="102A43"/>
          <w:sz w:val="60"/>
        </w:rPr>
        <w:t>Kolibree Sovereign Router</w:t>
      </w:r>
    </w:p>
    <w:p>
      <w:pPr>
        <w:pStyle w:val="Subtitle"/>
        <w:jc w:val="center"/>
      </w:pPr>
      <w:r>
        <w:rPr>
          <w:rFonts w:ascii="Calibri" w:hAnsi="Calibri"/>
          <w:b w:val="0"/>
          <w:i w:val="0"/>
          <w:color w:val="566573"/>
          <w:sz w:val="30"/>
        </w:rPr>
        <w:t>Choisir une IA selon des règles de souveraineté, conserver la preuve et démontrer la capacité de sortie.</w:t>
      </w:r>
    </w:p>
    <w:p>
      <w:pPr>
        <w:jc w:val="center"/>
      </w:pPr>
      <w:r>
        <w:rPr>
          <w:rFonts w:ascii="Calibri" w:hAnsi="Calibri"/>
          <w:b/>
          <w:i w:val="0"/>
          <w:color w:val="1E5AA8"/>
          <w:sz w:val="21"/>
        </w:rPr>
        <w:t>Plan de lancement 30 jours  |  19 août 2026</w:t>
      </w:r>
    </w:p>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Décision. </w:t>
            </w:r>
            <w:r>
              <w:rPr>
                <w:rFonts w:ascii="Calibri" w:hAnsi="Calibri"/>
                <w:b w:val="0"/>
                <w:i w:val="0"/>
                <w:color w:val="102A43"/>
                <w:sz w:val="22"/>
              </w:rPr>
              <w:t>Lancer un pilote bancaire centré sur un workload, une politique de routage, un AI-BOM et un DORA Exit Test reproductible.</w:t>
            </w:r>
          </w:p>
        </w:tc>
      </w:tr>
    </w:tbl>
    <w:p>
      <w:pPr>
        <w:spacing w:after="20"/>
      </w:pPr>
    </w:p>
    <w:p>
      <w:r>
        <w:br w:type="page"/>
      </w:r>
    </w:p>
    <w:p>
      <w:pPr>
        <w:pStyle w:val="Heading1"/>
      </w:pPr>
      <w:r>
        <w:t>1. Le besoin en langage simple</w:t>
      </w:r>
    </w:p>
    <w:p>
      <w:r>
        <w:rPr>
          <w:rFonts w:ascii="Calibri" w:hAnsi="Calibri"/>
          <w:b w:val="0"/>
          <w:i w:val="0"/>
          <w:color w:val="102A43"/>
          <w:sz w:val="22"/>
        </w:rPr>
        <w:t>Une entreprise régulée ne peut pas choisir une intelligence artificielle uniquement parce qu’elle est performante ou bon marché. Elle doit aussi savoir qui l’opère, dans quel pays les données sont traitées, ce qui est conservé, quelles règles contractuelles s’appliquent et comment continuer à fonctionner si le fournisseur devient indisponible.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EAF7F7"/>
          </w:tcPr>
          <w:p>
            <w:pPr>
              <w:spacing w:after="0" w:line="276" w:lineRule="auto"/>
            </w:pPr>
            <w:r>
              <w:rPr>
                <w:rFonts w:ascii="Calibri" w:hAnsi="Calibri"/>
                <w:b/>
                <w:i w:val="0"/>
                <w:color w:val="1E5AA8"/>
                <w:sz w:val="22"/>
              </w:rPr>
              <w:t xml:space="preserve">Souveraineté — définition opérationnelle. </w:t>
            </w:r>
            <w:r>
              <w:rPr>
                <w:rFonts w:ascii="Calibri" w:hAnsi="Calibri"/>
                <w:b w:val="0"/>
                <w:i w:val="0"/>
                <w:color w:val="102A43"/>
                <w:sz w:val="22"/>
              </w:rPr>
              <w:t>Capacité de choisir, imposer et prouver les juridictions, fournisseurs, modèles, traitements de données et solutions de remplacement utilisés par le système. La souveraineté n’est donc pas seulement « hébergé en Europe ».</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tcMar>
              <w:top w:w="80" w:type="dxa"/>
              <w:bottom w:w="80" w:type="dxa"/>
              <w:start w:w="120" w:type="dxa"/>
              <w:end w:w="120" w:type="dxa"/>
            </w:tcMar>
            <w:vAlign w:val="center"/>
          </w:tcPr>
          <w:p>
            <w:pPr>
              <w:spacing w:after="0"/>
            </w:pPr>
            <w:r>
              <w:rPr>
                <w:rFonts w:ascii="Calibri" w:hAnsi="Calibri"/>
                <w:b/>
                <w:i w:val="0"/>
                <w:color w:val="102A43"/>
                <w:sz w:val="19"/>
              </w:rPr>
              <w:t>Question du comité de risque</w:t>
            </w:r>
          </w:p>
        </w:tc>
        <w:tc>
          <w:tcPr>
            <w:tcW w:type="dxa" w:w="5160"/>
            <w:shd w:fill="E8EEF5"/>
            <w:tcMar>
              <w:top w:w="80" w:type="dxa"/>
              <w:bottom w:w="80" w:type="dxa"/>
              <w:start w:w="120" w:type="dxa"/>
              <w:end w:w="120" w:type="dxa"/>
            </w:tcMar>
            <w:vAlign w:val="center"/>
          </w:tcPr>
          <w:p>
            <w:pPr>
              <w:spacing w:after="0"/>
            </w:pPr>
            <w:r>
              <w:rPr>
                <w:rFonts w:ascii="Calibri" w:hAnsi="Calibri"/>
                <w:b/>
                <w:i w:val="0"/>
                <w:color w:val="102A43"/>
                <w:sz w:val="19"/>
              </w:rPr>
              <w:t>Réponse apportée</w:t>
            </w:r>
          </w:p>
        </w:tc>
      </w:tr>
      <w:tr>
        <w:tc>
          <w:tcPr>
            <w:tcW w:type="dxa" w:w="4200"/>
            <w:tcMar>
              <w:top w:w="80" w:type="dxa"/>
              <w:bottom w:w="80" w:type="dxa"/>
              <w:start w:w="120" w:type="dxa"/>
              <w:end w:w="120" w:type="dxa"/>
            </w:tcMar>
            <w:vAlign w:val="center"/>
          </w:tcPr>
          <w:p>
            <w:pPr>
              <w:spacing w:after="0" w:line="259" w:lineRule="auto"/>
            </w:pPr>
            <w:r>
              <w:rPr>
                <w:rFonts w:ascii="Calibri" w:hAnsi="Calibri"/>
                <w:b w:val="0"/>
                <w:i w:val="0"/>
                <w:color w:val="102A43"/>
                <w:sz w:val="18"/>
              </w:rPr>
              <w:t>Où la demande a-t-elle été traitée ?</w:t>
            </w:r>
          </w:p>
        </w:tc>
        <w:tc>
          <w:tcPr>
            <w:tcW w:type="dxa" w:w="5160"/>
            <w:tcMar>
              <w:top w:w="80" w:type="dxa"/>
              <w:bottom w:w="80" w:type="dxa"/>
              <w:start w:w="120" w:type="dxa"/>
              <w:end w:w="120" w:type="dxa"/>
            </w:tcMar>
            <w:vAlign w:val="center"/>
          </w:tcPr>
          <w:p>
            <w:pPr>
              <w:spacing w:after="0" w:line="259" w:lineRule="auto"/>
            </w:pPr>
            <w:r>
              <w:rPr>
                <w:rFonts w:ascii="Calibri" w:hAnsi="Calibri"/>
                <w:b w:val="0"/>
                <w:i w:val="0"/>
                <w:color w:val="102A43"/>
                <w:sz w:val="18"/>
              </w:rPr>
              <w:t>Région, fournisseur et sous-traitants consignés.</w:t>
            </w:r>
          </w:p>
        </w:tc>
      </w:tr>
      <w:tr>
        <w:tc>
          <w:tcPr>
            <w:tcW w:type="dxa" w:w="4200"/>
            <w:tcMar>
              <w:top w:w="80" w:type="dxa"/>
              <w:bottom w:w="80" w:type="dxa"/>
              <w:start w:w="120" w:type="dxa"/>
              <w:end w:w="120" w:type="dxa"/>
            </w:tcMar>
            <w:vAlign w:val="center"/>
          </w:tcPr>
          <w:p>
            <w:pPr>
              <w:spacing w:after="0" w:line="259" w:lineRule="auto"/>
            </w:pPr>
            <w:r>
              <w:rPr>
                <w:rFonts w:ascii="Calibri" w:hAnsi="Calibri"/>
                <w:b w:val="0"/>
                <w:i w:val="0"/>
                <w:color w:val="102A43"/>
                <w:sz w:val="18"/>
              </w:rPr>
              <w:t>Quel modèle a répondu ?</w:t>
            </w:r>
          </w:p>
        </w:tc>
        <w:tc>
          <w:tcPr>
            <w:tcW w:type="dxa" w:w="5160"/>
            <w:tcMar>
              <w:top w:w="80" w:type="dxa"/>
              <w:bottom w:w="80" w:type="dxa"/>
              <w:start w:w="120" w:type="dxa"/>
              <w:end w:w="120" w:type="dxa"/>
            </w:tcMar>
            <w:vAlign w:val="center"/>
          </w:tcPr>
          <w:p>
            <w:pPr>
              <w:spacing w:after="0" w:line="259" w:lineRule="auto"/>
            </w:pPr>
            <w:r>
              <w:rPr>
                <w:rFonts w:ascii="Calibri" w:hAnsi="Calibri"/>
                <w:b w:val="0"/>
                <w:i w:val="0"/>
                <w:color w:val="102A43"/>
                <w:sz w:val="18"/>
              </w:rPr>
              <w:t>Modèle, version et licence enregistrés dans l’AI-BOM.</w:t>
            </w:r>
          </w:p>
        </w:tc>
      </w:tr>
      <w:tr>
        <w:tc>
          <w:tcPr>
            <w:tcW w:type="dxa" w:w="4200"/>
            <w:tcMar>
              <w:top w:w="80" w:type="dxa"/>
              <w:bottom w:w="80" w:type="dxa"/>
              <w:start w:w="120" w:type="dxa"/>
              <w:end w:w="120" w:type="dxa"/>
            </w:tcMar>
            <w:vAlign w:val="center"/>
          </w:tcPr>
          <w:p>
            <w:pPr>
              <w:spacing w:after="0" w:line="259" w:lineRule="auto"/>
            </w:pPr>
            <w:r>
              <w:rPr>
                <w:rFonts w:ascii="Calibri" w:hAnsi="Calibri"/>
                <w:b w:val="0"/>
                <w:i w:val="0"/>
                <w:color w:val="102A43"/>
                <w:sz w:val="18"/>
              </w:rPr>
              <w:t>Pourquoi ce modèle ?</w:t>
            </w:r>
          </w:p>
        </w:tc>
        <w:tc>
          <w:tcPr>
            <w:tcW w:type="dxa" w:w="5160"/>
            <w:tcMar>
              <w:top w:w="80" w:type="dxa"/>
              <w:bottom w:w="80" w:type="dxa"/>
              <w:start w:w="120" w:type="dxa"/>
              <w:end w:w="120" w:type="dxa"/>
            </w:tcMar>
            <w:vAlign w:val="center"/>
          </w:tcPr>
          <w:p>
            <w:pPr>
              <w:spacing w:after="0" w:line="259" w:lineRule="auto"/>
            </w:pPr>
            <w:r>
              <w:rPr>
                <w:rFonts w:ascii="Calibri" w:hAnsi="Calibri"/>
                <w:b w:val="0"/>
                <w:i w:val="0"/>
                <w:color w:val="102A43"/>
                <w:sz w:val="18"/>
              </w:rPr>
              <w:t>Règle de policy et score de décision conservés.</w:t>
            </w:r>
          </w:p>
        </w:tc>
      </w:tr>
      <w:tr>
        <w:tc>
          <w:tcPr>
            <w:tcW w:type="dxa" w:w="4200"/>
            <w:tcMar>
              <w:top w:w="80" w:type="dxa"/>
              <w:bottom w:w="80" w:type="dxa"/>
              <w:start w:w="120" w:type="dxa"/>
              <w:end w:w="120" w:type="dxa"/>
            </w:tcMar>
            <w:vAlign w:val="center"/>
          </w:tcPr>
          <w:p>
            <w:pPr>
              <w:spacing w:after="0" w:line="259" w:lineRule="auto"/>
            </w:pPr>
            <w:r>
              <w:rPr>
                <w:rFonts w:ascii="Calibri" w:hAnsi="Calibri"/>
                <w:b w:val="0"/>
                <w:i w:val="0"/>
                <w:color w:val="102A43"/>
                <w:sz w:val="18"/>
              </w:rPr>
              <w:t>La réponse a-t-elle été contrôlée ?</w:t>
            </w:r>
          </w:p>
        </w:tc>
        <w:tc>
          <w:tcPr>
            <w:tcW w:type="dxa" w:w="5160"/>
            <w:tcMar>
              <w:top w:w="80" w:type="dxa"/>
              <w:bottom w:w="80" w:type="dxa"/>
              <w:start w:w="120" w:type="dxa"/>
              <w:end w:w="120" w:type="dxa"/>
            </w:tcMar>
            <w:vAlign w:val="center"/>
          </w:tcPr>
          <w:p>
            <w:pPr>
              <w:spacing w:after="0" w:line="259" w:lineRule="auto"/>
            </w:pPr>
            <w:r>
              <w:rPr>
                <w:rFonts w:ascii="Calibri" w:hAnsi="Calibri"/>
                <w:b w:val="0"/>
                <w:i w:val="0"/>
                <w:color w:val="102A43"/>
                <w:sz w:val="18"/>
              </w:rPr>
              <w:t>Verifier, résultat et éventuelle escalade enregistrés.</w:t>
            </w:r>
          </w:p>
        </w:tc>
      </w:tr>
      <w:tr>
        <w:tc>
          <w:tcPr>
            <w:tcW w:type="dxa" w:w="4200"/>
            <w:tcMar>
              <w:top w:w="80" w:type="dxa"/>
              <w:bottom w:w="80" w:type="dxa"/>
              <w:start w:w="120" w:type="dxa"/>
              <w:end w:w="120" w:type="dxa"/>
            </w:tcMar>
            <w:vAlign w:val="center"/>
          </w:tcPr>
          <w:p>
            <w:pPr>
              <w:spacing w:after="0" w:line="259" w:lineRule="auto"/>
            </w:pPr>
            <w:r>
              <w:rPr>
                <w:rFonts w:ascii="Calibri" w:hAnsi="Calibri"/>
                <w:b w:val="0"/>
                <w:i w:val="0"/>
                <w:color w:val="102A43"/>
                <w:sz w:val="18"/>
              </w:rPr>
              <w:t>Pouvons-nous changer de fournisseur ?</w:t>
            </w:r>
          </w:p>
        </w:tc>
        <w:tc>
          <w:tcPr>
            <w:tcW w:type="dxa" w:w="5160"/>
            <w:tcMar>
              <w:top w:w="80" w:type="dxa"/>
              <w:bottom w:w="80" w:type="dxa"/>
              <w:start w:w="120" w:type="dxa"/>
              <w:end w:w="120" w:type="dxa"/>
            </w:tcMar>
            <w:vAlign w:val="center"/>
          </w:tcPr>
          <w:p>
            <w:pPr>
              <w:spacing w:after="0" w:line="259" w:lineRule="auto"/>
            </w:pPr>
            <w:r>
              <w:rPr>
                <w:rFonts w:ascii="Calibri" w:hAnsi="Calibri"/>
                <w:b w:val="0"/>
                <w:i w:val="0"/>
                <w:color w:val="102A43"/>
                <w:sz w:val="18"/>
              </w:rPr>
              <w:t>DORA Exit Test exécuté sur un workload scellé.</w:t>
            </w:r>
          </w:p>
        </w:tc>
      </w:tr>
    </w:tbl>
    <w:p>
      <w:pPr>
        <w:spacing w:after="20"/>
      </w:pPr>
    </w:p>
    <w:p>
      <w:pPr>
        <w:pStyle w:val="Heading1"/>
      </w:pPr>
      <w:r>
        <w:t>2. Concepts indispensables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E8EEF5"/>
            <w:tcMar>
              <w:top w:w="80" w:type="dxa"/>
              <w:bottom w:w="80" w:type="dxa"/>
              <w:start w:w="120" w:type="dxa"/>
              <w:end w:w="120" w:type="dxa"/>
            </w:tcMar>
            <w:vAlign w:val="center"/>
          </w:tcPr>
          <w:p>
            <w:pPr>
              <w:spacing w:after="0"/>
            </w:pPr>
            <w:r>
              <w:rPr>
                <w:rFonts w:ascii="Calibri" w:hAnsi="Calibri"/>
                <w:b/>
                <w:i w:val="0"/>
                <w:color w:val="102A43"/>
                <w:sz w:val="19"/>
              </w:rPr>
              <w:t>Concept</w:t>
            </w:r>
          </w:p>
        </w:tc>
        <w:tc>
          <w:tcPr>
            <w:tcW w:type="dxa" w:w="7010"/>
            <w:shd w:fill="E8EEF5"/>
            <w:tcMar>
              <w:top w:w="80" w:type="dxa"/>
              <w:bottom w:w="80" w:type="dxa"/>
              <w:start w:w="120" w:type="dxa"/>
              <w:end w:w="120" w:type="dxa"/>
            </w:tcMar>
            <w:vAlign w:val="center"/>
          </w:tcPr>
          <w:p>
            <w:pPr>
              <w:spacing w:after="0"/>
            </w:pPr>
            <w:r>
              <w:rPr>
                <w:rFonts w:ascii="Calibri" w:hAnsi="Calibri"/>
                <w:b/>
                <w:i w:val="0"/>
                <w:color w:val="102A43"/>
                <w:sz w:val="19"/>
              </w:rPr>
              <w:t>Définition simple</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Policy</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Règle imposée par l’entreprise : pays autorisé, fournisseur interdit, budget, niveau de sensibilité ou conservation.</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Policy engine</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Composant qui applique automatiquement ces règles avant de choisir un modèle.</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AI-BOM</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AI Bill of Materials : inventaire versionné des modèles, fournisseurs, régions, licences et composants utilisés.</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Evidence Ledger</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Journal de preuve retraçant chaque décision, contrôle, version et coût.</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Hash chain</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Chaînage cryptographique rendant une modification ultérieure détectable ; ce n’est pas une blockchain.</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DORA Exit Test</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Rejeu du même workload vers une alternative afin de prouver que la sortie d’un fournisseur fonctionne.</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Control plane</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Partie qui administre règles, identités et configurations.</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Data plane</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Partie où circulent les demandes et réponses réelles.</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Verifier</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Contrôle automatique ou métier déterminant si une réponse est acceptable.</w:t>
            </w:r>
          </w:p>
        </w:tc>
      </w:tr>
      <w:tr>
        <w:tc>
          <w:tcPr>
            <w:tcW w:type="dxa" w:w="2350"/>
            <w:tcMar>
              <w:top w:w="80" w:type="dxa"/>
              <w:bottom w:w="80" w:type="dxa"/>
              <w:start w:w="120" w:type="dxa"/>
              <w:end w:w="120" w:type="dxa"/>
            </w:tcMar>
            <w:vAlign w:val="center"/>
          </w:tcPr>
          <w:p>
            <w:pPr>
              <w:spacing w:after="0" w:line="259" w:lineRule="auto"/>
            </w:pPr>
            <w:r>
              <w:rPr>
                <w:rFonts w:ascii="Calibri" w:hAnsi="Calibri"/>
                <w:b w:val="0"/>
                <w:i w:val="0"/>
                <w:color w:val="102A43"/>
                <w:sz w:val="18"/>
              </w:rPr>
              <w:t>Fallback</w:t>
            </w:r>
          </w:p>
        </w:tc>
        <w:tc>
          <w:tcPr>
            <w:tcW w:type="dxa" w:w="7010"/>
            <w:tcMar>
              <w:top w:w="80" w:type="dxa"/>
              <w:bottom w:w="80" w:type="dxa"/>
              <w:start w:w="120" w:type="dxa"/>
              <w:end w:w="120" w:type="dxa"/>
            </w:tcMar>
            <w:vAlign w:val="center"/>
          </w:tcPr>
          <w:p>
            <w:pPr>
              <w:spacing w:after="0" w:line="259" w:lineRule="auto"/>
            </w:pPr>
            <w:r>
              <w:rPr>
                <w:rFonts w:ascii="Calibri" w:hAnsi="Calibri"/>
                <w:b w:val="0"/>
                <w:i w:val="0"/>
                <w:color w:val="102A43"/>
                <w:sz w:val="18"/>
              </w:rPr>
              <w:t>Solution de secours en cas d’indisponibilité ; elle doit respecter les mêmes règles de souveraineté.</w:t>
            </w:r>
          </w:p>
        </w:tc>
      </w:tr>
    </w:tbl>
    <w:p>
      <w:pPr>
        <w:spacing w:after="20"/>
      </w:pPr>
    </w:p>
    <w:p>
      <w:pPr>
        <w:pStyle w:val="Heading1"/>
      </w:pPr>
      <w:r>
        <w:t>3. Produit et parcours</w:t>
      </w:r>
    </w:p>
    <w:p>
      <w:pPr>
        <w:pStyle w:val="ListNumber"/>
      </w:pPr>
      <w:r>
        <w:rPr>
          <w:rFonts w:ascii="Calibri" w:hAnsi="Calibri"/>
          <w:b w:val="0"/>
          <w:i w:val="0"/>
          <w:color w:val="102A43"/>
          <w:sz w:val="22"/>
        </w:rPr>
        <w:t>Le DSI définit les régions, fournisseurs, modèles et catégories de données autorisés.</w:t>
      </w:r>
    </w:p>
    <w:p>
      <w:pPr>
        <w:pStyle w:val="ListNumber"/>
      </w:pPr>
      <w:r>
        <w:rPr>
          <w:rFonts w:ascii="Calibri" w:hAnsi="Calibri"/>
          <w:b w:val="0"/>
          <w:i w:val="0"/>
          <w:color w:val="102A43"/>
          <w:sz w:val="22"/>
        </w:rPr>
        <w:t>L’application appelle une API unique compatible avec ses usages existants.</w:t>
      </w:r>
    </w:p>
    <w:p>
      <w:pPr>
        <w:pStyle w:val="ListNumber"/>
      </w:pPr>
      <w:r>
        <w:rPr>
          <w:rFonts w:ascii="Calibri" w:hAnsi="Calibri"/>
          <w:b w:val="0"/>
          <w:i w:val="0"/>
          <w:color w:val="102A43"/>
          <w:sz w:val="22"/>
        </w:rPr>
        <w:t>Le policy engine élimine les routes interdites.</w:t>
      </w:r>
    </w:p>
    <w:p>
      <w:pPr>
        <w:pStyle w:val="ListNumber"/>
      </w:pPr>
      <w:r>
        <w:rPr>
          <w:rFonts w:ascii="Calibri" w:hAnsi="Calibri"/>
          <w:b w:val="0"/>
          <w:i w:val="0"/>
          <w:color w:val="102A43"/>
          <w:sz w:val="22"/>
        </w:rPr>
        <w:t>Le router choisit parmi les routes restantes selon qualité, coût et latence.</w:t>
      </w:r>
    </w:p>
    <w:p>
      <w:pPr>
        <w:pStyle w:val="ListNumber"/>
      </w:pPr>
      <w:r>
        <w:rPr>
          <w:rFonts w:ascii="Calibri" w:hAnsi="Calibri"/>
          <w:b w:val="0"/>
          <w:i w:val="0"/>
          <w:color w:val="102A43"/>
          <w:sz w:val="22"/>
        </w:rPr>
        <w:t>Le verifier contrôle la réponse et déclenche une escalade si nécessaire.</w:t>
      </w:r>
    </w:p>
    <w:p>
      <w:pPr>
        <w:pStyle w:val="ListNumber"/>
      </w:pPr>
      <w:r>
        <w:rPr>
          <w:rFonts w:ascii="Calibri" w:hAnsi="Calibri"/>
          <w:b w:val="0"/>
          <w:i w:val="0"/>
          <w:color w:val="102A43"/>
          <w:sz w:val="22"/>
        </w:rPr>
        <w:t>L’Evidence Ledger conserve la décision et l’AI-BOM identifie tous les composants.</w:t>
      </w:r>
    </w:p>
    <w:p>
      <w:pPr>
        <w:pStyle w:val="ListNumber"/>
      </w:pPr>
      <w:r>
        <w:rPr>
          <w:rFonts w:ascii="Calibri" w:hAnsi="Calibri"/>
          <w:b w:val="0"/>
          <w:i w:val="0"/>
          <w:color w:val="102A43"/>
          <w:sz w:val="22"/>
        </w:rPr>
        <w:t>Le tableau de bord produit les exports pour IT, Risk, Compliance et Audit.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Définition — API compatible OpenAI. </w:t>
            </w:r>
            <w:r>
              <w:rPr>
                <w:rFonts w:ascii="Calibri" w:hAnsi="Calibri"/>
                <w:b w:val="0"/>
                <w:i w:val="0"/>
                <w:color w:val="102A43"/>
                <w:sz w:val="22"/>
              </w:rPr>
              <w:t>Une application conçue pour appeler l’API d’OpenAI peut généralement appeler Kolibree en modifiant surtout l’adresse et la clé, ce qui réduit le coût de migration.</w:t>
            </w:r>
          </w:p>
        </w:tc>
      </w:tr>
    </w:tbl>
    <w:p>
      <w:pPr>
        <w:spacing w:after="20"/>
      </w:pPr>
    </w:p>
    <w:p>
      <w:pPr>
        <w:pStyle w:val="Heading2"/>
      </w:pPr>
      <w:r>
        <w:t>3.1 Segmentation géographique</w:t>
      </w:r>
    </w:p>
    <w:tbl>
      <w:tblPr>
        <w:tblStyle w:val="TableGrid"/>
        <w:tblW w:type="dxa" w:w="9360"/>
        <w:jc w:val="left"/>
        <w:tblLayout w:type="fixed"/>
        <w:tblLook w:firstColumn="1" w:firstRow="1" w:lastColumn="0" w:lastRow="0" w:noHBand="0" w:noVBand="1" w:val="04A0"/>
        <w:tblInd w:w="120" w:type="dxa"/>
      </w:tblPr>
      <w:tblGrid>
        <w:gridCol w:w="1200"/>
        <w:gridCol w:w="4000"/>
        <w:gridCol w:w="4160"/>
      </w:tblGrid>
      <w:tr>
        <w:trPr>
          <w:tblHeader w:val="true"/>
        </w:trPr>
        <w:tc>
          <w:tcPr>
            <w:tcW w:type="dxa" w:w="1200"/>
            <w:shd w:fill="E8EEF5"/>
            <w:tcMar>
              <w:top w:w="80" w:type="dxa"/>
              <w:bottom w:w="80" w:type="dxa"/>
              <w:start w:w="120" w:type="dxa"/>
              <w:end w:w="120" w:type="dxa"/>
            </w:tcMar>
            <w:vAlign w:val="center"/>
          </w:tcPr>
          <w:p>
            <w:pPr>
              <w:spacing w:after="0"/>
            </w:pPr>
            <w:r>
              <w:rPr>
                <w:rFonts w:ascii="Calibri" w:hAnsi="Calibri"/>
                <w:b/>
                <w:i w:val="0"/>
                <w:color w:val="102A43"/>
                <w:sz w:val="19"/>
              </w:rPr>
              <w:t>Zone</w:t>
            </w:r>
          </w:p>
        </w:tc>
        <w:tc>
          <w:tcPr>
            <w:tcW w:type="dxa" w:w="4000"/>
            <w:shd w:fill="E8EEF5"/>
            <w:tcMar>
              <w:top w:w="80" w:type="dxa"/>
              <w:bottom w:w="80" w:type="dxa"/>
              <w:start w:w="120" w:type="dxa"/>
              <w:end w:w="120" w:type="dxa"/>
            </w:tcMar>
            <w:vAlign w:val="center"/>
          </w:tcPr>
          <w:p>
            <w:pPr>
              <w:spacing w:after="0"/>
            </w:pPr>
            <w:r>
              <w:rPr>
                <w:rFonts w:ascii="Calibri" w:hAnsi="Calibri"/>
                <w:b/>
                <w:i w:val="0"/>
                <w:color w:val="102A43"/>
                <w:sz w:val="19"/>
              </w:rPr>
              <w:t>Signification</w:t>
            </w:r>
          </w:p>
        </w:tc>
        <w:tc>
          <w:tcPr>
            <w:tcW w:type="dxa" w:w="4160"/>
            <w:shd w:fill="E8EEF5"/>
            <w:tcMar>
              <w:top w:w="80" w:type="dxa"/>
              <w:bottom w:w="80" w:type="dxa"/>
              <w:start w:w="120" w:type="dxa"/>
              <w:end w:w="120" w:type="dxa"/>
            </w:tcMar>
            <w:vAlign w:val="center"/>
          </w:tcPr>
          <w:p>
            <w:pPr>
              <w:spacing w:after="0"/>
            </w:pPr>
            <w:r>
              <w:rPr>
                <w:rFonts w:ascii="Calibri" w:hAnsi="Calibri"/>
                <w:b/>
                <w:i w:val="0"/>
                <w:color w:val="102A43"/>
                <w:sz w:val="19"/>
              </w:rPr>
              <w:t>Exemple de politique</w:t>
            </w:r>
          </w:p>
        </w:tc>
      </w:tr>
      <w:tr>
        <w:tc>
          <w:tcPr>
            <w:tcW w:type="dxa" w:w="1200"/>
            <w:tcMar>
              <w:top w:w="80" w:type="dxa"/>
              <w:bottom w:w="80" w:type="dxa"/>
              <w:start w:w="120" w:type="dxa"/>
              <w:end w:w="120" w:type="dxa"/>
            </w:tcMar>
            <w:vAlign w:val="center"/>
          </w:tcPr>
          <w:p>
            <w:pPr>
              <w:spacing w:after="0" w:line="259" w:lineRule="auto"/>
            </w:pPr>
            <w:r>
              <w:rPr>
                <w:rFonts w:ascii="Calibri" w:hAnsi="Calibri"/>
                <w:b w:val="0"/>
                <w:i w:val="0"/>
                <w:color w:val="102A43"/>
                <w:sz w:val="18"/>
              </w:rPr>
              <w:t>EU</w:t>
            </w:r>
          </w:p>
        </w:tc>
        <w:tc>
          <w:tcPr>
            <w:tcW w:type="dxa" w:w="4000"/>
            <w:tcMar>
              <w:top w:w="80" w:type="dxa"/>
              <w:bottom w:w="80" w:type="dxa"/>
              <w:start w:w="120" w:type="dxa"/>
              <w:end w:w="120" w:type="dxa"/>
            </w:tcMar>
            <w:vAlign w:val="center"/>
          </w:tcPr>
          <w:p>
            <w:pPr>
              <w:spacing w:after="0" w:line="259" w:lineRule="auto"/>
            </w:pPr>
            <w:r>
              <w:rPr>
                <w:rFonts w:ascii="Calibri" w:hAnsi="Calibri"/>
                <w:b w:val="0"/>
                <w:i w:val="0"/>
                <w:color w:val="102A43"/>
                <w:sz w:val="18"/>
              </w:rPr>
              <w:t>exécution sous règles et infrastructures européennes choisies</w:t>
            </w:r>
          </w:p>
        </w:tc>
        <w:tc>
          <w:tcPr>
            <w:tcW w:type="dxa" w:w="4160"/>
            <w:tcMar>
              <w:top w:w="80" w:type="dxa"/>
              <w:bottom w:w="80" w:type="dxa"/>
              <w:start w:w="120" w:type="dxa"/>
              <w:end w:w="120" w:type="dxa"/>
            </w:tcMar>
            <w:vAlign w:val="center"/>
          </w:tcPr>
          <w:p>
            <w:pPr>
              <w:spacing w:after="0" w:line="259" w:lineRule="auto"/>
            </w:pPr>
            <w:r>
              <w:rPr>
                <w:rFonts w:ascii="Calibri" w:hAnsi="Calibri"/>
                <w:b w:val="0"/>
                <w:i w:val="0"/>
                <w:color w:val="102A43"/>
                <w:sz w:val="18"/>
              </w:rPr>
              <w:t>données sensibles : EU uniquement</w:t>
            </w:r>
          </w:p>
        </w:tc>
      </w:tr>
      <w:tr>
        <w:tc>
          <w:tcPr>
            <w:tcW w:type="dxa" w:w="1200"/>
            <w:tcMar>
              <w:top w:w="80" w:type="dxa"/>
              <w:bottom w:w="80" w:type="dxa"/>
              <w:start w:w="120" w:type="dxa"/>
              <w:end w:w="120" w:type="dxa"/>
            </w:tcMar>
            <w:vAlign w:val="center"/>
          </w:tcPr>
          <w:p>
            <w:pPr>
              <w:spacing w:after="0" w:line="259" w:lineRule="auto"/>
            </w:pPr>
            <w:r>
              <w:rPr>
                <w:rFonts w:ascii="Calibri" w:hAnsi="Calibri"/>
                <w:b w:val="0"/>
                <w:i w:val="0"/>
                <w:color w:val="102A43"/>
                <w:sz w:val="18"/>
              </w:rPr>
              <w:t>US</w:t>
            </w:r>
          </w:p>
        </w:tc>
        <w:tc>
          <w:tcPr>
            <w:tcW w:type="dxa" w:w="4000"/>
            <w:tcMar>
              <w:top w:w="80" w:type="dxa"/>
              <w:bottom w:w="80" w:type="dxa"/>
              <w:start w:w="120" w:type="dxa"/>
              <w:end w:w="120" w:type="dxa"/>
            </w:tcMar>
            <w:vAlign w:val="center"/>
          </w:tcPr>
          <w:p>
            <w:pPr>
              <w:spacing w:after="0" w:line="259" w:lineRule="auto"/>
            </w:pPr>
            <w:r>
              <w:rPr>
                <w:rFonts w:ascii="Calibri" w:hAnsi="Calibri"/>
                <w:b w:val="0"/>
                <w:i w:val="0"/>
                <w:color w:val="102A43"/>
                <w:sz w:val="18"/>
              </w:rPr>
              <w:t>fournisseurs américains autorisés selon contrat et usage</w:t>
            </w:r>
          </w:p>
        </w:tc>
        <w:tc>
          <w:tcPr>
            <w:tcW w:type="dxa" w:w="4160"/>
            <w:tcMar>
              <w:top w:w="80" w:type="dxa"/>
              <w:bottom w:w="80" w:type="dxa"/>
              <w:start w:w="120" w:type="dxa"/>
              <w:end w:w="120" w:type="dxa"/>
            </w:tcMar>
            <w:vAlign w:val="center"/>
          </w:tcPr>
          <w:p>
            <w:pPr>
              <w:spacing w:after="0" w:line="259" w:lineRule="auto"/>
            </w:pPr>
            <w:r>
              <w:rPr>
                <w:rFonts w:ascii="Calibri" w:hAnsi="Calibri"/>
                <w:b w:val="0"/>
                <w:i w:val="0"/>
                <w:color w:val="102A43"/>
                <w:sz w:val="18"/>
              </w:rPr>
              <w:t>tâches publiques : US permis</w:t>
            </w:r>
          </w:p>
        </w:tc>
      </w:tr>
      <w:tr>
        <w:tc>
          <w:tcPr>
            <w:tcW w:type="dxa" w:w="1200"/>
            <w:tcMar>
              <w:top w:w="80" w:type="dxa"/>
              <w:bottom w:w="80" w:type="dxa"/>
              <w:start w:w="120" w:type="dxa"/>
              <w:end w:w="120" w:type="dxa"/>
            </w:tcMar>
            <w:vAlign w:val="center"/>
          </w:tcPr>
          <w:p>
            <w:pPr>
              <w:spacing w:after="0" w:line="259" w:lineRule="auto"/>
            </w:pPr>
            <w:r>
              <w:rPr>
                <w:rFonts w:ascii="Calibri" w:hAnsi="Calibri"/>
                <w:b w:val="0"/>
                <w:i w:val="0"/>
                <w:color w:val="102A43"/>
                <w:sz w:val="18"/>
              </w:rPr>
              <w:t>CN</w:t>
            </w:r>
          </w:p>
        </w:tc>
        <w:tc>
          <w:tcPr>
            <w:tcW w:type="dxa" w:w="4000"/>
            <w:tcMar>
              <w:top w:w="80" w:type="dxa"/>
              <w:bottom w:w="80" w:type="dxa"/>
              <w:start w:w="120" w:type="dxa"/>
              <w:end w:w="120" w:type="dxa"/>
            </w:tcMar>
            <w:vAlign w:val="center"/>
          </w:tcPr>
          <w:p>
            <w:pPr>
              <w:spacing w:after="0" w:line="259" w:lineRule="auto"/>
            </w:pPr>
            <w:r>
              <w:rPr>
                <w:rFonts w:ascii="Calibri" w:hAnsi="Calibri"/>
                <w:b w:val="0"/>
                <w:i w:val="0"/>
                <w:color w:val="102A43"/>
                <w:sz w:val="18"/>
              </w:rPr>
              <w:t>modèles ou fournisseurs chinois explicitement autorisés</w:t>
            </w:r>
          </w:p>
        </w:tc>
        <w:tc>
          <w:tcPr>
            <w:tcW w:type="dxa" w:w="4160"/>
            <w:tcMar>
              <w:top w:w="80" w:type="dxa"/>
              <w:bottom w:w="80" w:type="dxa"/>
              <w:start w:w="120" w:type="dxa"/>
              <w:end w:w="120" w:type="dxa"/>
            </w:tcMar>
            <w:vAlign w:val="center"/>
          </w:tcPr>
          <w:p>
            <w:pPr>
              <w:spacing w:after="0" w:line="259" w:lineRule="auto"/>
            </w:pPr>
            <w:r>
              <w:rPr>
                <w:rFonts w:ascii="Calibri" w:hAnsi="Calibri"/>
                <w:b w:val="0"/>
                <w:i w:val="0"/>
                <w:color w:val="102A43"/>
                <w:sz w:val="18"/>
              </w:rPr>
              <w:t>benchmark ou tâches non sensibles</w:t>
            </w:r>
          </w:p>
        </w:tc>
      </w:tr>
      <w:tr>
        <w:tc>
          <w:tcPr>
            <w:tcW w:type="dxa" w:w="1200"/>
            <w:tcMar>
              <w:top w:w="80" w:type="dxa"/>
              <w:bottom w:w="80" w:type="dxa"/>
              <w:start w:w="120" w:type="dxa"/>
              <w:end w:w="120" w:type="dxa"/>
            </w:tcMar>
            <w:vAlign w:val="center"/>
          </w:tcPr>
          <w:p>
            <w:pPr>
              <w:spacing w:after="0" w:line="259" w:lineRule="auto"/>
            </w:pPr>
            <w:r>
              <w:rPr>
                <w:rFonts w:ascii="Calibri" w:hAnsi="Calibri"/>
                <w:b w:val="0"/>
                <w:i w:val="0"/>
                <w:color w:val="102A43"/>
                <w:sz w:val="18"/>
              </w:rPr>
              <w:t>APAC hors CN</w:t>
            </w:r>
          </w:p>
        </w:tc>
        <w:tc>
          <w:tcPr>
            <w:tcW w:type="dxa" w:w="4000"/>
            <w:tcMar>
              <w:top w:w="80" w:type="dxa"/>
              <w:bottom w:w="80" w:type="dxa"/>
              <w:start w:w="120" w:type="dxa"/>
              <w:end w:w="120" w:type="dxa"/>
            </w:tcMar>
            <w:vAlign w:val="center"/>
          </w:tcPr>
          <w:p>
            <w:pPr>
              <w:spacing w:after="0" w:line="259" w:lineRule="auto"/>
            </w:pPr>
            <w:r>
              <w:rPr>
                <w:rFonts w:ascii="Calibri" w:hAnsi="Calibri"/>
                <w:b w:val="0"/>
                <w:i w:val="0"/>
                <w:color w:val="102A43"/>
                <w:sz w:val="18"/>
              </w:rPr>
              <w:t>routes asiatiques distinctes de la Chine</w:t>
            </w:r>
          </w:p>
        </w:tc>
        <w:tc>
          <w:tcPr>
            <w:tcW w:type="dxa" w:w="4160"/>
            <w:tcMar>
              <w:top w:w="80" w:type="dxa"/>
              <w:bottom w:w="80" w:type="dxa"/>
              <w:start w:w="120" w:type="dxa"/>
              <w:end w:w="120" w:type="dxa"/>
            </w:tcMar>
            <w:vAlign w:val="center"/>
          </w:tcPr>
          <w:p>
            <w:pPr>
              <w:spacing w:after="0" w:line="259" w:lineRule="auto"/>
            </w:pPr>
            <w:r>
              <w:rPr>
                <w:rFonts w:ascii="Calibri" w:hAnsi="Calibri"/>
                <w:b w:val="0"/>
                <w:i w:val="0"/>
                <w:color w:val="102A43"/>
                <w:sz w:val="18"/>
              </w:rPr>
              <w:t>continuité régionale d’un groupe mondial</w:t>
            </w:r>
          </w:p>
        </w:tc>
      </w:tr>
    </w:tbl>
    <w:p>
      <w:pPr>
        <w:spacing w:after="20"/>
      </w:pPr>
    </w:p>
    <w:p>
      <w:r>
        <w:rPr>
          <w:rFonts w:ascii="Calibri" w:hAnsi="Calibri"/>
          <w:b w:val="0"/>
          <w:i w:val="0"/>
          <w:color w:val="102A43"/>
          <w:sz w:val="22"/>
        </w:rPr>
        <w:t>Une zone n’est jamais une garantie suffisante : le contrat, la propriété du fournisseur, les sous-traitants, la télémétrie et le lieu réel de traitement doivent également être connus.</w:t>
      </w:r>
    </w:p>
    <w:p>
      <w:pPr>
        <w:pStyle w:val="Heading1"/>
      </w:pPr>
      <w:r>
        <w:t>4. Architecture du pilote</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E8EEF5"/>
            <w:tcMar>
              <w:top w:w="80" w:type="dxa"/>
              <w:bottom w:w="80" w:type="dxa"/>
              <w:start w:w="120" w:type="dxa"/>
              <w:end w:w="120" w:type="dxa"/>
            </w:tcMar>
            <w:vAlign w:val="center"/>
          </w:tcPr>
          <w:p>
            <w:pPr>
              <w:spacing w:after="0"/>
            </w:pPr>
            <w:r>
              <w:rPr>
                <w:rFonts w:ascii="Calibri" w:hAnsi="Calibri"/>
                <w:b/>
                <w:i w:val="0"/>
                <w:color w:val="102A43"/>
                <w:sz w:val="19"/>
              </w:rPr>
              <w:t>Composant</w:t>
            </w:r>
          </w:p>
        </w:tc>
        <w:tc>
          <w:tcPr>
            <w:tcW w:type="dxa" w:w="3900"/>
            <w:shd w:fill="E8EEF5"/>
            <w:tcMar>
              <w:top w:w="80" w:type="dxa"/>
              <w:bottom w:w="80" w:type="dxa"/>
              <w:start w:w="120" w:type="dxa"/>
              <w:end w:w="120" w:type="dxa"/>
            </w:tcMar>
            <w:vAlign w:val="center"/>
          </w:tcPr>
          <w:p>
            <w:pPr>
              <w:spacing w:after="0"/>
            </w:pPr>
            <w:r>
              <w:rPr>
                <w:rFonts w:ascii="Calibri" w:hAnsi="Calibri"/>
                <w:b/>
                <w:i w:val="0"/>
                <w:color w:val="102A43"/>
                <w:sz w:val="19"/>
              </w:rPr>
              <w:t>Fonction</w:t>
            </w:r>
          </w:p>
        </w:tc>
        <w:tc>
          <w:tcPr>
            <w:tcW w:type="dxa" w:w="3760"/>
            <w:shd w:fill="E8EEF5"/>
            <w:tcMar>
              <w:top w:w="80" w:type="dxa"/>
              <w:bottom w:w="80" w:type="dxa"/>
              <w:start w:w="120" w:type="dxa"/>
              <w:end w:w="120" w:type="dxa"/>
            </w:tcMar>
            <w:vAlign w:val="center"/>
          </w:tcPr>
          <w:p>
            <w:pPr>
              <w:spacing w:after="0"/>
            </w:pPr>
            <w:r>
              <w:rPr>
                <w:rFonts w:ascii="Calibri" w:hAnsi="Calibri"/>
                <w:b/>
                <w:i w:val="0"/>
                <w:color w:val="102A43"/>
                <w:sz w:val="19"/>
              </w:rPr>
              <w:t>Preuve produite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Gateway</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authentification, quotas, format API</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identité et horodatage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Registry</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catalogue modèles/fournisseurs</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fiche versionnée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Policy Engine</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allow/deny selon le client</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règle appliquée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Router</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choix coût/qualité/latence</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raison du choix</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Verifier</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contrôle de la réponse</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acceptation ou escalade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AI-BOM</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inventaire des composants</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export d’audit</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Evidence Ledger</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journal append-only</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trace vérifiable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Dashboard</w:t>
            </w:r>
          </w:p>
        </w:tc>
        <w:tc>
          <w:tcPr>
            <w:tcW w:type="dxa" w:w="3900"/>
            <w:tcMar>
              <w:top w:w="80" w:type="dxa"/>
              <w:bottom w:w="80" w:type="dxa"/>
              <w:start w:w="120" w:type="dxa"/>
              <w:end w:w="120" w:type="dxa"/>
            </w:tcMar>
            <w:vAlign w:val="center"/>
          </w:tcPr>
          <w:p>
            <w:pPr>
              <w:spacing w:after="0" w:line="259" w:lineRule="auto"/>
            </w:pPr>
            <w:r>
              <w:rPr>
                <w:rFonts w:ascii="Calibri" w:hAnsi="Calibri"/>
                <w:b w:val="0"/>
                <w:i w:val="0"/>
                <w:color w:val="102A43"/>
                <w:sz w:val="18"/>
              </w:rPr>
              <w:t>vues IT, Risk, Compliance</w:t>
            </w:r>
          </w:p>
        </w:tc>
        <w:tc>
          <w:tcPr>
            <w:tcW w:type="dxa" w:w="3760"/>
            <w:tcMar>
              <w:top w:w="80" w:type="dxa"/>
              <w:bottom w:w="80" w:type="dxa"/>
              <w:start w:w="120" w:type="dxa"/>
              <w:end w:w="120" w:type="dxa"/>
            </w:tcMar>
            <w:vAlign w:val="center"/>
          </w:tcPr>
          <w:p>
            <w:pPr>
              <w:spacing w:after="0" w:line="259" w:lineRule="auto"/>
            </w:pPr>
            <w:r>
              <w:rPr>
                <w:rFonts w:ascii="Calibri" w:hAnsi="Calibri"/>
                <w:b w:val="0"/>
                <w:i w:val="0"/>
                <w:color w:val="102A43"/>
                <w:sz w:val="18"/>
              </w:rPr>
              <w:t>rapport et alertes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Append-only — définition. </w:t>
            </w:r>
            <w:r>
              <w:rPr>
                <w:rFonts w:ascii="Calibri" w:hAnsi="Calibri"/>
                <w:b w:val="0"/>
                <w:i w:val="0"/>
                <w:color w:val="102A43"/>
                <w:sz w:val="22"/>
              </w:rPr>
              <w:t>Le journal accepte de nouvelles entrées mais ne réécrit pas silencieusement l’historique. Les corrections sont ajoutées comme de nouveaux événements.</w:t>
            </w:r>
          </w:p>
        </w:tc>
      </w:tr>
    </w:tbl>
    <w:p>
      <w:pPr>
        <w:spacing w:after="20"/>
      </w:pPr>
    </w:p>
    <w:p>
      <w:pPr>
        <w:pStyle w:val="Heading1"/>
      </w:pPr>
      <w:r>
        <w:t>5. Modèles et fournisseurs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Open-weight — définition. </w:t>
            </w:r>
            <w:r>
              <w:rPr>
                <w:rFonts w:ascii="Calibri" w:hAnsi="Calibri"/>
                <w:b w:val="0"/>
                <w:i w:val="0"/>
                <w:color w:val="102A43"/>
                <w:sz w:val="22"/>
              </w:rPr>
              <w:t>Un modèle open-weight publie ses paramètres entraînés. Il peut généralement être exécuté sur une infrastructure choisie, mais l’usage commercial dépend toujours de la licence exacte.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700"/>
        <w:gridCol w:w="2300"/>
        <w:gridCol w:w="2800"/>
        <w:gridCol w:w="2560"/>
      </w:tblGrid>
      <w:tr>
        <w:trPr>
          <w:tblHeader w:val="true"/>
        </w:trPr>
        <w:tc>
          <w:tcPr>
            <w:tcW w:type="dxa" w:w="1700"/>
            <w:shd w:fill="E8EEF5"/>
            <w:tcMar>
              <w:top w:w="80" w:type="dxa"/>
              <w:bottom w:w="80" w:type="dxa"/>
              <w:start w:w="120" w:type="dxa"/>
              <w:end w:w="120" w:type="dxa"/>
            </w:tcMar>
            <w:vAlign w:val="center"/>
          </w:tcPr>
          <w:p>
            <w:pPr>
              <w:spacing w:after="0"/>
            </w:pPr>
            <w:r>
              <w:rPr>
                <w:rFonts w:ascii="Calibri" w:hAnsi="Calibri"/>
                <w:b/>
                <w:i w:val="0"/>
                <w:color w:val="102A43"/>
                <w:sz w:val="19"/>
              </w:rPr>
              <w:t>Lane</w:t>
            </w:r>
          </w:p>
        </w:tc>
        <w:tc>
          <w:tcPr>
            <w:tcW w:type="dxa" w:w="2300"/>
            <w:shd w:fill="E8EEF5"/>
            <w:tcMar>
              <w:top w:w="80" w:type="dxa"/>
              <w:bottom w:w="80" w:type="dxa"/>
              <w:start w:w="120" w:type="dxa"/>
              <w:end w:w="120" w:type="dxa"/>
            </w:tcMar>
            <w:vAlign w:val="center"/>
          </w:tcPr>
          <w:p>
            <w:pPr>
              <w:spacing w:after="0"/>
            </w:pPr>
            <w:r>
              <w:rPr>
                <w:rFonts w:ascii="Calibri" w:hAnsi="Calibri"/>
                <w:b/>
                <w:i w:val="0"/>
                <w:color w:val="102A43"/>
                <w:sz w:val="19"/>
              </w:rPr>
              <w:t>Candidat</w:t>
            </w:r>
          </w:p>
        </w:tc>
        <w:tc>
          <w:tcPr>
            <w:tcW w:type="dxa" w:w="2800"/>
            <w:shd w:fill="E8EEF5"/>
            <w:tcMar>
              <w:top w:w="80" w:type="dxa"/>
              <w:bottom w:w="80" w:type="dxa"/>
              <w:start w:w="120" w:type="dxa"/>
              <w:end w:w="120" w:type="dxa"/>
            </w:tcMar>
            <w:vAlign w:val="center"/>
          </w:tcPr>
          <w:p>
            <w:pPr>
              <w:spacing w:after="0"/>
            </w:pPr>
            <w:r>
              <w:rPr>
                <w:rFonts w:ascii="Calibri" w:hAnsi="Calibri"/>
                <w:b/>
                <w:i w:val="0"/>
                <w:color w:val="102A43"/>
                <w:sz w:val="19"/>
              </w:rPr>
              <w:t>Rôle pilote</w:t>
            </w:r>
          </w:p>
        </w:tc>
        <w:tc>
          <w:tcPr>
            <w:tcW w:type="dxa" w:w="2560"/>
            <w:shd w:fill="E8EEF5"/>
            <w:tcMar>
              <w:top w:w="80" w:type="dxa"/>
              <w:bottom w:w="80" w:type="dxa"/>
              <w:start w:w="120" w:type="dxa"/>
              <w:end w:w="120" w:type="dxa"/>
            </w:tcMar>
            <w:vAlign w:val="center"/>
          </w:tcPr>
          <w:p>
            <w:pPr>
              <w:spacing w:after="0"/>
            </w:pPr>
            <w:r>
              <w:rPr>
                <w:rFonts w:ascii="Calibri" w:hAnsi="Calibri"/>
                <w:b/>
                <w:i w:val="0"/>
                <w:color w:val="102A43"/>
                <w:sz w:val="19"/>
              </w:rPr>
              <w:t>Gate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CN open-weight</w:t>
            </w:r>
          </w:p>
        </w:tc>
        <w:tc>
          <w:tcPr>
            <w:tcW w:type="dxa" w:w="2300"/>
            <w:tcMar>
              <w:top w:w="80" w:type="dxa"/>
              <w:bottom w:w="80" w:type="dxa"/>
              <w:start w:w="120" w:type="dxa"/>
              <w:end w:w="120" w:type="dxa"/>
            </w:tcMar>
            <w:vAlign w:val="center"/>
          </w:tcPr>
          <w:p>
            <w:pPr>
              <w:spacing w:after="0" w:line="259" w:lineRule="auto"/>
            </w:pPr>
            <w:r>
              <w:rPr>
                <w:rFonts w:ascii="Calibri" w:hAnsi="Calibri"/>
                <w:b w:val="0"/>
                <w:i w:val="0"/>
                <w:color w:val="102A43"/>
                <w:sz w:val="18"/>
              </w:rPr>
              <w:t>Qwen3.8-27B</w:t>
            </w:r>
          </w:p>
        </w:tc>
        <w:tc>
          <w:tcPr>
            <w:tcW w:type="dxa" w:w="2800"/>
            <w:tcMar>
              <w:top w:w="80" w:type="dxa"/>
              <w:bottom w:w="80" w:type="dxa"/>
              <w:start w:w="120" w:type="dxa"/>
              <w:end w:w="120" w:type="dxa"/>
            </w:tcMar>
            <w:vAlign w:val="center"/>
          </w:tcPr>
          <w:p>
            <w:pPr>
              <w:spacing w:after="0" w:line="259" w:lineRule="auto"/>
            </w:pPr>
            <w:r>
              <w:rPr>
                <w:rFonts w:ascii="Calibri" w:hAnsi="Calibri"/>
                <w:b w:val="0"/>
                <w:i w:val="0"/>
                <w:color w:val="102A43"/>
                <w:sz w:val="18"/>
              </w:rPr>
              <w:t>baseline locale ou hébergée</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licence + benchmark + coût</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CN API</w:t>
            </w:r>
          </w:p>
        </w:tc>
        <w:tc>
          <w:tcPr>
            <w:tcW w:type="dxa" w:w="2300"/>
            <w:tcMar>
              <w:top w:w="80" w:type="dxa"/>
              <w:bottom w:w="80" w:type="dxa"/>
              <w:start w:w="120" w:type="dxa"/>
              <w:end w:w="120" w:type="dxa"/>
            </w:tcMar>
            <w:vAlign w:val="center"/>
          </w:tcPr>
          <w:p>
            <w:pPr>
              <w:spacing w:after="0" w:line="259" w:lineRule="auto"/>
            </w:pPr>
            <w:r>
              <w:rPr>
                <w:rFonts w:ascii="Calibri" w:hAnsi="Calibri"/>
                <w:b w:val="0"/>
                <w:i w:val="0"/>
                <w:color w:val="102A43"/>
                <w:sz w:val="18"/>
              </w:rPr>
              <w:t>DeepSeek V4 Flash/Pro</w:t>
            </w:r>
          </w:p>
        </w:tc>
        <w:tc>
          <w:tcPr>
            <w:tcW w:type="dxa" w:w="2800"/>
            <w:tcMar>
              <w:top w:w="80" w:type="dxa"/>
              <w:bottom w:w="80" w:type="dxa"/>
              <w:start w:w="120" w:type="dxa"/>
              <w:end w:w="120" w:type="dxa"/>
            </w:tcMar>
            <w:vAlign w:val="center"/>
          </w:tcPr>
          <w:p>
            <w:pPr>
              <w:spacing w:after="0" w:line="259" w:lineRule="auto"/>
            </w:pPr>
            <w:r>
              <w:rPr>
                <w:rFonts w:ascii="Calibri" w:hAnsi="Calibri"/>
                <w:b w:val="0"/>
                <w:i w:val="0"/>
                <w:color w:val="102A43"/>
                <w:sz w:val="18"/>
              </w:rPr>
              <w:t>économie et escalade agentique</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contrat + région + données</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EU</w:t>
            </w:r>
          </w:p>
        </w:tc>
        <w:tc>
          <w:tcPr>
            <w:tcW w:type="dxa" w:w="2300"/>
            <w:tcMar>
              <w:top w:w="80" w:type="dxa"/>
              <w:bottom w:w="80" w:type="dxa"/>
              <w:start w:w="120" w:type="dxa"/>
              <w:end w:w="120" w:type="dxa"/>
            </w:tcMar>
            <w:vAlign w:val="center"/>
          </w:tcPr>
          <w:p>
            <w:pPr>
              <w:spacing w:after="0" w:line="259" w:lineRule="auto"/>
            </w:pPr>
            <w:r>
              <w:rPr>
                <w:rFonts w:ascii="Calibri" w:hAnsi="Calibri"/>
                <w:b w:val="0"/>
                <w:i w:val="0"/>
                <w:color w:val="102A43"/>
                <w:sz w:val="18"/>
              </w:rPr>
              <w:t>Mistral / offre SecNumCloud</w:t>
            </w:r>
          </w:p>
        </w:tc>
        <w:tc>
          <w:tcPr>
            <w:tcW w:type="dxa" w:w="2800"/>
            <w:tcMar>
              <w:top w:w="80" w:type="dxa"/>
              <w:bottom w:w="80" w:type="dxa"/>
              <w:start w:w="120" w:type="dxa"/>
              <w:end w:w="120" w:type="dxa"/>
            </w:tcMar>
            <w:vAlign w:val="center"/>
          </w:tcPr>
          <w:p>
            <w:pPr>
              <w:spacing w:after="0" w:line="259" w:lineRule="auto"/>
            </w:pPr>
            <w:r>
              <w:rPr>
                <w:rFonts w:ascii="Calibri" w:hAnsi="Calibri"/>
                <w:b w:val="0"/>
                <w:i w:val="0"/>
                <w:color w:val="102A43"/>
                <w:sz w:val="18"/>
              </w:rPr>
              <w:t>route souveraine UE</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disponibilité + performance</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US</w:t>
            </w:r>
          </w:p>
        </w:tc>
        <w:tc>
          <w:tcPr>
            <w:tcW w:type="dxa" w:w="2300"/>
            <w:tcMar>
              <w:top w:w="80" w:type="dxa"/>
              <w:bottom w:w="80" w:type="dxa"/>
              <w:start w:w="120" w:type="dxa"/>
              <w:end w:w="120" w:type="dxa"/>
            </w:tcMar>
            <w:vAlign w:val="center"/>
          </w:tcPr>
          <w:p>
            <w:pPr>
              <w:spacing w:after="0" w:line="259" w:lineRule="auto"/>
            </w:pPr>
            <w:r>
              <w:rPr>
                <w:rFonts w:ascii="Calibri" w:hAnsi="Calibri"/>
                <w:b w:val="0"/>
                <w:i w:val="0"/>
                <w:color w:val="102A43"/>
                <w:sz w:val="18"/>
              </w:rPr>
              <w:t>Anthropic/OpenAI</w:t>
            </w:r>
          </w:p>
        </w:tc>
        <w:tc>
          <w:tcPr>
            <w:tcW w:type="dxa" w:w="2800"/>
            <w:tcMar>
              <w:top w:w="80" w:type="dxa"/>
              <w:bottom w:w="80" w:type="dxa"/>
              <w:start w:w="120" w:type="dxa"/>
              <w:end w:w="120" w:type="dxa"/>
            </w:tcMar>
            <w:vAlign w:val="center"/>
          </w:tcPr>
          <w:p>
            <w:pPr>
              <w:spacing w:after="0" w:line="259" w:lineRule="auto"/>
            </w:pPr>
            <w:r>
              <w:rPr>
                <w:rFonts w:ascii="Calibri" w:hAnsi="Calibri"/>
                <w:b w:val="0"/>
                <w:i w:val="0"/>
                <w:color w:val="102A43"/>
                <w:sz w:val="18"/>
              </w:rPr>
              <w:t>baseline de qualité</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contrat direct ou BYOK</w:t>
            </w:r>
          </w:p>
        </w:tc>
      </w:tr>
      <w:tr>
        <w:tc>
          <w:tcPr>
            <w:tcW w:type="dxa" w:w="1700"/>
            <w:tcMar>
              <w:top w:w="80" w:type="dxa"/>
              <w:bottom w:w="80" w:type="dxa"/>
              <w:start w:w="120" w:type="dxa"/>
              <w:end w:w="120" w:type="dxa"/>
            </w:tcMar>
            <w:vAlign w:val="center"/>
          </w:tcPr>
          <w:p>
            <w:pPr>
              <w:spacing w:after="0" w:line="259" w:lineRule="auto"/>
            </w:pPr>
            <w:r>
              <w:rPr>
                <w:rFonts w:ascii="Calibri" w:hAnsi="Calibri"/>
                <w:b w:val="0"/>
                <w:i w:val="0"/>
                <w:color w:val="102A43"/>
                <w:sz w:val="18"/>
              </w:rPr>
              <w:t>Radar</w:t>
            </w:r>
          </w:p>
        </w:tc>
        <w:tc>
          <w:tcPr>
            <w:tcW w:type="dxa" w:w="2300"/>
            <w:tcMar>
              <w:top w:w="80" w:type="dxa"/>
              <w:bottom w:w="80" w:type="dxa"/>
              <w:start w:w="120" w:type="dxa"/>
              <w:end w:w="120" w:type="dxa"/>
            </w:tcMar>
            <w:vAlign w:val="center"/>
          </w:tcPr>
          <w:p>
            <w:pPr>
              <w:spacing w:after="0" w:line="259" w:lineRule="auto"/>
            </w:pPr>
            <w:r>
              <w:rPr>
                <w:rFonts w:ascii="Calibri" w:hAnsi="Calibri"/>
                <w:b w:val="0"/>
                <w:i w:val="0"/>
                <w:color w:val="102A43"/>
                <w:sz w:val="18"/>
              </w:rPr>
              <w:t>Step, GLM, MiMo, Kimi, MiniMax, Hunyuan</w:t>
            </w:r>
          </w:p>
        </w:tc>
        <w:tc>
          <w:tcPr>
            <w:tcW w:type="dxa" w:w="2800"/>
            <w:tcMar>
              <w:top w:w="80" w:type="dxa"/>
              <w:bottom w:w="80" w:type="dxa"/>
              <w:start w:w="120" w:type="dxa"/>
              <w:end w:w="120" w:type="dxa"/>
            </w:tcMar>
            <w:vAlign w:val="center"/>
          </w:tcPr>
          <w:p>
            <w:pPr>
              <w:spacing w:after="0" w:line="259" w:lineRule="auto"/>
            </w:pPr>
            <w:r>
              <w:rPr>
                <w:rFonts w:ascii="Calibri" w:hAnsi="Calibri"/>
                <w:b w:val="0"/>
                <w:i w:val="0"/>
                <w:color w:val="102A43"/>
                <w:sz w:val="18"/>
              </w:rPr>
              <w:t>candidats futurs</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aucune production sans dossier complet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SecNumCloud — définition. </w:t>
            </w:r>
            <w:r>
              <w:rPr>
                <w:rFonts w:ascii="Calibri" w:hAnsi="Calibri"/>
                <w:b w:val="0"/>
                <w:i w:val="0"/>
                <w:color w:val="102A43"/>
                <w:sz w:val="22"/>
              </w:rPr>
              <w:t>Qualification française de l’ANSSI portant sur des prestataires cloud répondant à des exigences élevées de sécurité et de protection juridique. Elle qualifie un service cloud déterminé, pas automatiquement tout logiciel qui y est hébergé.</w:t>
            </w:r>
          </w:p>
        </w:tc>
      </w:tr>
    </w:tbl>
    <w:p>
      <w:pPr>
        <w:spacing w:after="20"/>
      </w:pPr>
    </w:p>
    <w:p>
      <w:pPr>
        <w:pStyle w:val="Heading1"/>
      </w:pPr>
      <w:r>
        <w:t>6. DORA, AI Act et données</w:t>
      </w:r>
    </w:p>
    <w:tbl>
      <w:tblPr>
        <w:tblStyle w:val="TableGrid"/>
        <w:tblW w:type="dxa" w:w="9360"/>
        <w:jc w:val="left"/>
        <w:tblLayout w:type="fixed"/>
        <w:tblLook w:firstColumn="1" w:firstRow="1" w:lastColumn="0" w:lastRow="0" w:noHBand="0" w:noVBand="1" w:val="04A0"/>
        <w:tblInd w:w="120" w:type="dxa"/>
      </w:tblPr>
      <w:tblGrid>
        <w:gridCol w:w="1500"/>
        <w:gridCol w:w="4300"/>
        <w:gridCol w:w="3560"/>
      </w:tblGrid>
      <w:tr>
        <w:trPr>
          <w:tblHeader w:val="true"/>
        </w:trPr>
        <w:tc>
          <w:tcPr>
            <w:tcW w:type="dxa" w:w="1500"/>
            <w:shd w:fill="E8EEF5"/>
            <w:tcMar>
              <w:top w:w="80" w:type="dxa"/>
              <w:bottom w:w="80" w:type="dxa"/>
              <w:start w:w="120" w:type="dxa"/>
              <w:end w:w="120" w:type="dxa"/>
            </w:tcMar>
            <w:vAlign w:val="center"/>
          </w:tcPr>
          <w:p>
            <w:pPr>
              <w:spacing w:after="0"/>
            </w:pPr>
            <w:r>
              <w:rPr>
                <w:rFonts w:ascii="Calibri" w:hAnsi="Calibri"/>
                <w:b/>
                <w:i w:val="0"/>
                <w:color w:val="102A43"/>
                <w:sz w:val="19"/>
              </w:rPr>
              <w:t>Terme</w:t>
            </w:r>
          </w:p>
        </w:tc>
        <w:tc>
          <w:tcPr>
            <w:tcW w:type="dxa" w:w="4300"/>
            <w:shd w:fill="E8EEF5"/>
            <w:tcMar>
              <w:top w:w="80" w:type="dxa"/>
              <w:bottom w:w="80" w:type="dxa"/>
              <w:start w:w="120" w:type="dxa"/>
              <w:end w:w="120" w:type="dxa"/>
            </w:tcMar>
            <w:vAlign w:val="center"/>
          </w:tcPr>
          <w:p>
            <w:pPr>
              <w:spacing w:after="0"/>
            </w:pPr>
            <w:r>
              <w:rPr>
                <w:rFonts w:ascii="Calibri" w:hAnsi="Calibri"/>
                <w:b/>
                <w:i w:val="0"/>
                <w:color w:val="102A43"/>
                <w:sz w:val="19"/>
              </w:rPr>
              <w:t>Définition</w:t>
            </w:r>
          </w:p>
        </w:tc>
        <w:tc>
          <w:tcPr>
            <w:tcW w:type="dxa" w:w="3560"/>
            <w:shd w:fill="E8EEF5"/>
            <w:tcMar>
              <w:top w:w="80" w:type="dxa"/>
              <w:bottom w:w="80" w:type="dxa"/>
              <w:start w:w="120" w:type="dxa"/>
              <w:end w:w="120" w:type="dxa"/>
            </w:tcMar>
            <w:vAlign w:val="center"/>
          </w:tcPr>
          <w:p>
            <w:pPr>
              <w:spacing w:after="0"/>
            </w:pPr>
            <w:r>
              <w:rPr>
                <w:rFonts w:ascii="Calibri" w:hAnsi="Calibri"/>
                <w:b/>
                <w:i w:val="0"/>
                <w:color w:val="102A43"/>
                <w:sz w:val="19"/>
              </w:rPr>
              <w:t>Conséquence produit</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DORA</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Règlement européen sur la résilience opérationnelle numérique du secteur financier.</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contrôle des prestataires, continuité, audit et sortie</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AI Act</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Règlement européen encadrant les systèmes d’IA selon le rôle et le risque.</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qualification des rôles, transparence et documentation</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Provider</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acteur qui met un système d’IA sur le marché sous son nom.</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obligations différentes selon l’offre</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Deployer</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organisation qui utilise un système d’IA sous son autorité.</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gouvernance de l’usage et information</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DPA</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accord organisant le traitement des données personnelles.</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chaîne de sous-traitants documentée</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ZDR</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Zero Data Retention : absence de conservation après traitement selon l’engagement exact.</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configuration et preuve contractuelle</w:t>
            </w:r>
          </w:p>
        </w:tc>
      </w:tr>
      <w:tr>
        <w:tc>
          <w:tcPr>
            <w:tcW w:type="dxa" w:w="1500"/>
            <w:tcMar>
              <w:top w:w="80" w:type="dxa"/>
              <w:bottom w:w="80" w:type="dxa"/>
              <w:start w:w="120" w:type="dxa"/>
              <w:end w:w="120" w:type="dxa"/>
            </w:tcMar>
            <w:vAlign w:val="center"/>
          </w:tcPr>
          <w:p>
            <w:pPr>
              <w:spacing w:after="0" w:line="259" w:lineRule="auto"/>
            </w:pPr>
            <w:r>
              <w:rPr>
                <w:rFonts w:ascii="Calibri" w:hAnsi="Calibri"/>
                <w:b w:val="0"/>
                <w:i w:val="0"/>
                <w:color w:val="102A43"/>
                <w:sz w:val="17"/>
              </w:rPr>
              <w:t>No-training</w:t>
            </w:r>
          </w:p>
        </w:tc>
        <w:tc>
          <w:tcPr>
            <w:tcW w:type="dxa" w:w="4300"/>
            <w:tcMar>
              <w:top w:w="80" w:type="dxa"/>
              <w:bottom w:w="80" w:type="dxa"/>
              <w:start w:w="120" w:type="dxa"/>
              <w:end w:w="120" w:type="dxa"/>
            </w:tcMar>
            <w:vAlign w:val="center"/>
          </w:tcPr>
          <w:p>
            <w:pPr>
              <w:spacing w:after="0" w:line="259" w:lineRule="auto"/>
            </w:pPr>
            <w:r>
              <w:rPr>
                <w:rFonts w:ascii="Calibri" w:hAnsi="Calibri"/>
                <w:b w:val="0"/>
                <w:i w:val="0"/>
                <w:color w:val="102A43"/>
                <w:sz w:val="17"/>
              </w:rPr>
              <w:t>données client non utilisées pour entraîner le modèle.</w:t>
            </w:r>
          </w:p>
        </w:tc>
        <w:tc>
          <w:tcPr>
            <w:tcW w:type="dxa" w:w="3560"/>
            <w:tcMar>
              <w:top w:w="80" w:type="dxa"/>
              <w:bottom w:w="80" w:type="dxa"/>
              <w:start w:w="120" w:type="dxa"/>
              <w:end w:w="120" w:type="dxa"/>
            </w:tcMar>
            <w:vAlign w:val="center"/>
          </w:tcPr>
          <w:p>
            <w:pPr>
              <w:spacing w:after="0" w:line="259" w:lineRule="auto"/>
            </w:pPr>
            <w:r>
              <w:rPr>
                <w:rFonts w:ascii="Calibri" w:hAnsi="Calibri"/>
                <w:b w:val="0"/>
                <w:i w:val="0"/>
                <w:color w:val="102A43"/>
                <w:sz w:val="17"/>
              </w:rPr>
              <w:t>exigence par défaut</w:t>
            </w:r>
          </w:p>
        </w:tc>
      </w:tr>
    </w:tbl>
    <w:p>
      <w:pPr>
        <w:spacing w:after="20"/>
      </w:pPr>
    </w:p>
    <w:p>
      <w:r>
        <w:rPr>
          <w:rFonts w:ascii="Calibri" w:hAnsi="Calibri"/>
          <w:b w:val="0"/>
          <w:i w:val="0"/>
          <w:color w:val="102A43"/>
          <w:sz w:val="22"/>
        </w:rPr>
        <w:t>Le launch book ne constitue pas un avis juridique. Chaque route doit franchir une gate contractuelle avant de recevoir du trafic client.</w:t>
      </w:r>
    </w:p>
    <w:p>
      <w:pPr>
        <w:pStyle w:val="Heading1"/>
      </w:pPr>
      <w:r>
        <w:t>7. Le DORA Exit Test, pas à pas</w:t>
      </w:r>
    </w:p>
    <w:p>
      <w:pPr>
        <w:pStyle w:val="ListNumber"/>
      </w:pPr>
      <w:r>
        <w:rPr>
          <w:rFonts w:ascii="Calibri" w:hAnsi="Calibri"/>
          <w:b w:val="0"/>
          <w:i w:val="0"/>
          <w:color w:val="102A43"/>
          <w:sz w:val="22"/>
        </w:rPr>
        <w:t>Choisir un workload représentatif et le sceller : demandes, réponses attendues et tests.</w:t>
      </w:r>
    </w:p>
    <w:p>
      <w:pPr>
        <w:pStyle w:val="ListNumber"/>
      </w:pPr>
      <w:r>
        <w:rPr>
          <w:rFonts w:ascii="Calibri" w:hAnsi="Calibri"/>
          <w:b w:val="0"/>
          <w:i w:val="0"/>
          <w:color w:val="102A43"/>
          <w:sz w:val="22"/>
        </w:rPr>
        <w:t>Exporter la configuration, la baseline et l’AI-BOM de la route principale.</w:t>
      </w:r>
    </w:p>
    <w:p>
      <w:pPr>
        <w:pStyle w:val="ListNumber"/>
      </w:pPr>
      <w:r>
        <w:rPr>
          <w:rFonts w:ascii="Calibri" w:hAnsi="Calibri"/>
          <w:b w:val="0"/>
          <w:i w:val="0"/>
          <w:color w:val="102A43"/>
          <w:sz w:val="22"/>
        </w:rPr>
        <w:t>Choisir une route alternative déjà admise par la policy.</w:t>
      </w:r>
    </w:p>
    <w:p>
      <w:pPr>
        <w:pStyle w:val="ListNumber"/>
      </w:pPr>
      <w:r>
        <w:rPr>
          <w:rFonts w:ascii="Calibri" w:hAnsi="Calibri"/>
          <w:b w:val="0"/>
          <w:i w:val="0"/>
          <w:color w:val="102A43"/>
          <w:sz w:val="22"/>
        </w:rPr>
        <w:t>Rejouer le workload sans modifier les critères de réussite.</w:t>
      </w:r>
    </w:p>
    <w:p>
      <w:pPr>
        <w:pStyle w:val="ListNumber"/>
      </w:pPr>
      <w:r>
        <w:rPr>
          <w:rFonts w:ascii="Calibri" w:hAnsi="Calibri"/>
          <w:b w:val="0"/>
          <w:i w:val="0"/>
          <w:color w:val="102A43"/>
          <w:sz w:val="22"/>
        </w:rPr>
        <w:t>Comparer qualité, coût, latence, taux d’erreur et couverture fonctionnelle.</w:t>
      </w:r>
    </w:p>
    <w:p>
      <w:pPr>
        <w:pStyle w:val="ListNumber"/>
      </w:pPr>
      <w:r>
        <w:rPr>
          <w:rFonts w:ascii="Calibri" w:hAnsi="Calibri"/>
          <w:b w:val="0"/>
          <w:i w:val="0"/>
          <w:color w:val="102A43"/>
          <w:sz w:val="22"/>
        </w:rPr>
        <w:t>Produire PASS ou FAIL, les écarts, les actions nécessaires et le délai réaliste de bascule.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Pourquoi c’est différenciant. </w:t>
            </w:r>
            <w:r>
              <w:rPr>
                <w:rFonts w:ascii="Calibri" w:hAnsi="Calibri"/>
                <w:b w:val="0"/>
                <w:i w:val="0"/>
                <w:color w:val="102A43"/>
                <w:sz w:val="22"/>
              </w:rPr>
              <w:t>Une clause contractuelle de sortie indique un droit. Le DORA Exit Test apporte une preuve technique que la sortie peut effectivement fonctionner.</w:t>
            </w:r>
          </w:p>
        </w:tc>
      </w:tr>
    </w:tbl>
    <w:p>
      <w:pPr>
        <w:spacing w:after="20"/>
      </w:pPr>
    </w:p>
    <w:p>
      <w:pPr>
        <w:pStyle w:val="Heading1"/>
      </w:pPr>
      <w:r>
        <w:t>8. Offre commerciale</w:t>
      </w:r>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shd w:fill="E8EEF5"/>
            <w:tcMar>
              <w:top w:w="80" w:type="dxa"/>
              <w:bottom w:w="80" w:type="dxa"/>
              <w:start w:w="120" w:type="dxa"/>
              <w:end w:w="120" w:type="dxa"/>
            </w:tcMar>
            <w:vAlign w:val="center"/>
          </w:tcPr>
          <w:p>
            <w:pPr>
              <w:spacing w:after="0"/>
            </w:pPr>
            <w:r>
              <w:rPr>
                <w:rFonts w:ascii="Calibri" w:hAnsi="Calibri"/>
                <w:b/>
                <w:i w:val="0"/>
                <w:color w:val="102A43"/>
                <w:sz w:val="19"/>
              </w:rPr>
              <w:t>Étape</w:t>
            </w:r>
          </w:p>
        </w:tc>
        <w:tc>
          <w:tcPr>
            <w:tcW w:type="dxa" w:w="4600"/>
            <w:shd w:fill="E8EEF5"/>
            <w:tcMar>
              <w:top w:w="80" w:type="dxa"/>
              <w:bottom w:w="80" w:type="dxa"/>
              <w:start w:w="120" w:type="dxa"/>
              <w:end w:w="120" w:type="dxa"/>
            </w:tcMar>
            <w:vAlign w:val="center"/>
          </w:tcPr>
          <w:p>
            <w:pPr>
              <w:spacing w:after="0"/>
            </w:pPr>
            <w:r>
              <w:rPr>
                <w:rFonts w:ascii="Calibri" w:hAnsi="Calibri"/>
                <w:b/>
                <w:i w:val="0"/>
                <w:color w:val="102A43"/>
                <w:sz w:val="19"/>
              </w:rPr>
              <w:t>Livrable</w:t>
            </w:r>
          </w:p>
        </w:tc>
        <w:tc>
          <w:tcPr>
            <w:tcW w:type="dxa" w:w="2560"/>
            <w:shd w:fill="E8EEF5"/>
            <w:tcMar>
              <w:top w:w="80" w:type="dxa"/>
              <w:bottom w:w="80" w:type="dxa"/>
              <w:start w:w="120" w:type="dxa"/>
              <w:end w:w="120" w:type="dxa"/>
            </w:tcMar>
            <w:vAlign w:val="center"/>
          </w:tcPr>
          <w:p>
            <w:pPr>
              <w:spacing w:after="0"/>
            </w:pPr>
            <w:r>
              <w:rPr>
                <w:rFonts w:ascii="Calibri" w:hAnsi="Calibri"/>
                <w:b/>
                <w:i w:val="0"/>
                <w:color w:val="102A43"/>
                <w:sz w:val="19"/>
              </w:rPr>
              <w:t>Acheteur</w:t>
            </w:r>
          </w:p>
        </w:tc>
      </w:tr>
      <w:tr>
        <w:tc>
          <w:tcPr>
            <w:tcW w:type="dxa" w:w="2200"/>
            <w:tcMar>
              <w:top w:w="80" w:type="dxa"/>
              <w:bottom w:w="80" w:type="dxa"/>
              <w:start w:w="120" w:type="dxa"/>
              <w:end w:w="120" w:type="dxa"/>
            </w:tcMar>
            <w:vAlign w:val="center"/>
          </w:tcPr>
          <w:p>
            <w:pPr>
              <w:spacing w:after="0" w:line="259" w:lineRule="auto"/>
            </w:pPr>
            <w:r>
              <w:rPr>
                <w:rFonts w:ascii="Calibri" w:hAnsi="Calibri"/>
                <w:b w:val="0"/>
                <w:i w:val="0"/>
                <w:color w:val="102A43"/>
                <w:sz w:val="18"/>
              </w:rPr>
              <w:t>Sovereign Routing Workshop</w:t>
            </w:r>
          </w:p>
        </w:tc>
        <w:tc>
          <w:tcPr>
            <w:tcW w:type="dxa" w:w="4600"/>
            <w:tcMar>
              <w:top w:w="80" w:type="dxa"/>
              <w:bottom w:w="80" w:type="dxa"/>
              <w:start w:w="120" w:type="dxa"/>
              <w:end w:w="120" w:type="dxa"/>
            </w:tcMar>
            <w:vAlign w:val="center"/>
          </w:tcPr>
          <w:p>
            <w:pPr>
              <w:spacing w:after="0" w:line="259" w:lineRule="auto"/>
            </w:pPr>
            <w:r>
              <w:rPr>
                <w:rFonts w:ascii="Calibri" w:hAnsi="Calibri"/>
                <w:b w:val="0"/>
                <w:i w:val="0"/>
                <w:color w:val="102A43"/>
                <w:sz w:val="18"/>
              </w:rPr>
              <w:t>cartographie données, zones, fournisseurs et risques</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DSI / Risk</w:t>
            </w:r>
          </w:p>
        </w:tc>
      </w:tr>
      <w:tr>
        <w:tc>
          <w:tcPr>
            <w:tcW w:type="dxa" w:w="2200"/>
            <w:tcMar>
              <w:top w:w="80" w:type="dxa"/>
              <w:bottom w:w="80" w:type="dxa"/>
              <w:start w:w="120" w:type="dxa"/>
              <w:end w:w="120" w:type="dxa"/>
            </w:tcMar>
            <w:vAlign w:val="center"/>
          </w:tcPr>
          <w:p>
            <w:pPr>
              <w:spacing w:after="0" w:line="259" w:lineRule="auto"/>
            </w:pPr>
            <w:r>
              <w:rPr>
                <w:rFonts w:ascii="Calibri" w:hAnsi="Calibri"/>
                <w:b w:val="0"/>
                <w:i w:val="0"/>
                <w:color w:val="102A43"/>
                <w:sz w:val="18"/>
              </w:rPr>
              <w:t>Pilot</w:t>
            </w:r>
          </w:p>
        </w:tc>
        <w:tc>
          <w:tcPr>
            <w:tcW w:type="dxa" w:w="4600"/>
            <w:tcMar>
              <w:top w:w="80" w:type="dxa"/>
              <w:bottom w:w="80" w:type="dxa"/>
              <w:start w:w="120" w:type="dxa"/>
              <w:end w:w="120" w:type="dxa"/>
            </w:tcMar>
            <w:vAlign w:val="center"/>
          </w:tcPr>
          <w:p>
            <w:pPr>
              <w:spacing w:after="0" w:line="259" w:lineRule="auto"/>
            </w:pPr>
            <w:r>
              <w:rPr>
                <w:rFonts w:ascii="Calibri" w:hAnsi="Calibri"/>
                <w:b w:val="0"/>
                <w:i w:val="0"/>
                <w:color w:val="102A43"/>
                <w:sz w:val="18"/>
              </w:rPr>
              <w:t>un workload, une policy, un AI-BOM, un dashboard</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DSI / métier</w:t>
            </w:r>
          </w:p>
        </w:tc>
      </w:tr>
      <w:tr>
        <w:tc>
          <w:tcPr>
            <w:tcW w:type="dxa" w:w="2200"/>
            <w:tcMar>
              <w:top w:w="80" w:type="dxa"/>
              <w:bottom w:w="80" w:type="dxa"/>
              <w:start w:w="120" w:type="dxa"/>
              <w:end w:w="120" w:type="dxa"/>
            </w:tcMar>
            <w:vAlign w:val="center"/>
          </w:tcPr>
          <w:p>
            <w:pPr>
              <w:spacing w:after="0" w:line="259" w:lineRule="auto"/>
            </w:pPr>
            <w:r>
              <w:rPr>
                <w:rFonts w:ascii="Calibri" w:hAnsi="Calibri"/>
                <w:b w:val="0"/>
                <w:i w:val="0"/>
                <w:color w:val="102A43"/>
                <w:sz w:val="18"/>
              </w:rPr>
              <w:t>Exit Test</w:t>
            </w:r>
          </w:p>
        </w:tc>
        <w:tc>
          <w:tcPr>
            <w:tcW w:type="dxa" w:w="4600"/>
            <w:tcMar>
              <w:top w:w="80" w:type="dxa"/>
              <w:bottom w:w="80" w:type="dxa"/>
              <w:start w:w="120" w:type="dxa"/>
              <w:end w:w="120" w:type="dxa"/>
            </w:tcMar>
            <w:vAlign w:val="center"/>
          </w:tcPr>
          <w:p>
            <w:pPr>
              <w:spacing w:after="0" w:line="259" w:lineRule="auto"/>
            </w:pPr>
            <w:r>
              <w:rPr>
                <w:rFonts w:ascii="Calibri" w:hAnsi="Calibri"/>
                <w:b w:val="0"/>
                <w:i w:val="0"/>
                <w:color w:val="102A43"/>
                <w:sz w:val="18"/>
              </w:rPr>
              <w:t>rejeu alternatif et rapport PASS/FAIL</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Risk / DORA</w:t>
            </w:r>
          </w:p>
        </w:tc>
      </w:tr>
      <w:tr>
        <w:tc>
          <w:tcPr>
            <w:tcW w:type="dxa" w:w="2200"/>
            <w:tcMar>
              <w:top w:w="80" w:type="dxa"/>
              <w:bottom w:w="80" w:type="dxa"/>
              <w:start w:w="120" w:type="dxa"/>
              <w:end w:w="120" w:type="dxa"/>
            </w:tcMar>
            <w:vAlign w:val="center"/>
          </w:tcPr>
          <w:p>
            <w:pPr>
              <w:spacing w:after="0" w:line="259" w:lineRule="auto"/>
            </w:pPr>
            <w:r>
              <w:rPr>
                <w:rFonts w:ascii="Calibri" w:hAnsi="Calibri"/>
                <w:b w:val="0"/>
                <w:i w:val="0"/>
                <w:color w:val="102A43"/>
                <w:sz w:val="18"/>
              </w:rPr>
              <w:t>Production</w:t>
            </w:r>
          </w:p>
        </w:tc>
        <w:tc>
          <w:tcPr>
            <w:tcW w:type="dxa" w:w="4600"/>
            <w:tcMar>
              <w:top w:w="80" w:type="dxa"/>
              <w:bottom w:w="80" w:type="dxa"/>
              <w:start w:w="120" w:type="dxa"/>
              <w:end w:w="120" w:type="dxa"/>
            </w:tcMar>
            <w:vAlign w:val="center"/>
          </w:tcPr>
          <w:p>
            <w:pPr>
              <w:spacing w:after="0" w:line="259" w:lineRule="auto"/>
            </w:pPr>
            <w:r>
              <w:rPr>
                <w:rFonts w:ascii="Calibri" w:hAnsi="Calibri"/>
                <w:b w:val="0"/>
                <w:i w:val="0"/>
                <w:color w:val="102A43"/>
                <w:sz w:val="18"/>
              </w:rPr>
              <w:t>router, preuves, support et reporting continu</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DSI / Procurement</w:t>
            </w:r>
          </w:p>
        </w:tc>
      </w:tr>
      <w:tr>
        <w:tc>
          <w:tcPr>
            <w:tcW w:type="dxa" w:w="2200"/>
            <w:tcMar>
              <w:top w:w="80" w:type="dxa"/>
              <w:bottom w:w="80" w:type="dxa"/>
              <w:start w:w="120" w:type="dxa"/>
              <w:end w:w="120" w:type="dxa"/>
            </w:tcMar>
            <w:vAlign w:val="center"/>
          </w:tcPr>
          <w:p>
            <w:pPr>
              <w:spacing w:after="0" w:line="259" w:lineRule="auto"/>
            </w:pPr>
            <w:r>
              <w:rPr>
                <w:rFonts w:ascii="Calibri" w:hAnsi="Calibri"/>
                <w:b w:val="0"/>
                <w:i w:val="0"/>
                <w:color w:val="102A43"/>
                <w:sz w:val="18"/>
              </w:rPr>
              <w:t>Audit/Certification</w:t>
            </w:r>
          </w:p>
        </w:tc>
        <w:tc>
          <w:tcPr>
            <w:tcW w:type="dxa" w:w="4600"/>
            <w:tcMar>
              <w:top w:w="80" w:type="dxa"/>
              <w:bottom w:w="80" w:type="dxa"/>
              <w:start w:w="120" w:type="dxa"/>
              <w:end w:w="120" w:type="dxa"/>
            </w:tcMar>
            <w:vAlign w:val="center"/>
          </w:tcPr>
          <w:p>
            <w:pPr>
              <w:spacing w:after="0" w:line="259" w:lineRule="auto"/>
            </w:pPr>
            <w:r>
              <w:rPr>
                <w:rFonts w:ascii="Calibri" w:hAnsi="Calibri"/>
                <w:b w:val="0"/>
                <w:i w:val="0"/>
                <w:color w:val="102A43"/>
                <w:sz w:val="18"/>
              </w:rPr>
              <w:t>évaluation indépendante avec Groupe Audit</w:t>
            </w:r>
          </w:p>
        </w:tc>
        <w:tc>
          <w:tcPr>
            <w:tcW w:type="dxa" w:w="2560"/>
            <w:tcMar>
              <w:top w:w="80" w:type="dxa"/>
              <w:bottom w:w="80" w:type="dxa"/>
              <w:start w:w="120" w:type="dxa"/>
              <w:end w:w="120" w:type="dxa"/>
            </w:tcMar>
            <w:vAlign w:val="center"/>
          </w:tcPr>
          <w:p>
            <w:pPr>
              <w:spacing w:after="0" w:line="259" w:lineRule="auto"/>
            </w:pPr>
            <w:r>
              <w:rPr>
                <w:rFonts w:ascii="Calibri" w:hAnsi="Calibri"/>
                <w:b w:val="0"/>
                <w:i w:val="0"/>
                <w:color w:val="102A43"/>
                <w:sz w:val="18"/>
              </w:rPr>
              <w:t>Audit / Compliance</w:t>
            </w:r>
          </w:p>
        </w:tc>
      </w:tr>
    </w:tbl>
    <w:p>
      <w:pPr>
        <w:spacing w:after="20"/>
      </w:pPr>
    </w:p>
    <w:p>
      <w:pPr>
        <w:pStyle w:val="Heading2"/>
      </w:pPr>
      <w:r>
        <w:t>8.1 Cas d’entrée bancaire</w:t>
      </w:r>
    </w:p>
    <w:p>
      <w:r>
        <w:rPr>
          <w:rFonts w:ascii="Calibri" w:hAnsi="Calibri"/>
          <w:b w:val="0"/>
          <w:i w:val="0"/>
          <w:color w:val="102A43"/>
          <w:sz w:val="22"/>
        </w:rPr>
        <w:t>Le module LCBFT — lutte contre le blanchiment de capitaux et le financement du terrorisme — constitue un cas d’entrée crédible parce qu’il existe déjà dans l’environnement Flaminem et combine exigences métier, données sensibles, auditabilité et continuité.</w:t>
      </w:r>
    </w:p>
    <w:p>
      <w:pPr>
        <w:pStyle w:val="Heading1"/>
      </w:pPr>
      <w:r>
        <w:t>9. Plan de lancement jusqu’au 26 septembre</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b/>
                <w:i w:val="0"/>
                <w:color w:val="102A43"/>
                <w:sz w:val="19"/>
              </w:rPr>
              <w:t>Échéance</w:t>
            </w:r>
          </w:p>
        </w:tc>
        <w:tc>
          <w:tcPr>
            <w:tcW w:type="dxa" w:w="4700"/>
            <w:shd w:fill="E8EEF5"/>
            <w:tcMar>
              <w:top w:w="80" w:type="dxa"/>
              <w:bottom w:w="80" w:type="dxa"/>
              <w:start w:w="120" w:type="dxa"/>
              <w:end w:w="120" w:type="dxa"/>
            </w:tcMar>
            <w:vAlign w:val="center"/>
          </w:tcPr>
          <w:p>
            <w:pPr>
              <w:spacing w:after="0"/>
            </w:pPr>
            <w:r>
              <w:rPr>
                <w:rFonts w:ascii="Calibri" w:hAnsi="Calibri"/>
                <w:b/>
                <w:i w:val="0"/>
                <w:color w:val="102A43"/>
                <w:sz w:val="19"/>
              </w:rPr>
              <w:t>Résultat</w:t>
            </w:r>
          </w:p>
        </w:tc>
        <w:tc>
          <w:tcPr>
            <w:tcW w:type="dxa" w:w="2860"/>
            <w:shd w:fill="E8EEF5"/>
            <w:tcMar>
              <w:top w:w="80" w:type="dxa"/>
              <w:bottom w:w="80" w:type="dxa"/>
              <w:start w:w="120" w:type="dxa"/>
              <w:end w:w="120" w:type="dxa"/>
            </w:tcMar>
            <w:vAlign w:val="center"/>
          </w:tcPr>
          <w:p>
            <w:pPr>
              <w:spacing w:after="0"/>
            </w:pPr>
            <w:r>
              <w:rPr>
                <w:rFonts w:ascii="Calibri" w:hAnsi="Calibri"/>
                <w:b/>
                <w:i w:val="0"/>
                <w:color w:val="102A43"/>
                <w:sz w:val="19"/>
              </w:rPr>
              <w:t>Gate</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i w:val="0"/>
                <w:color w:val="102A43"/>
                <w:sz w:val="18"/>
              </w:rPr>
              <w:t>72 heures</w:t>
            </w:r>
          </w:p>
        </w:tc>
        <w:tc>
          <w:tcPr>
            <w:tcW w:type="dxa" w:w="4700"/>
            <w:tcMar>
              <w:top w:w="80" w:type="dxa"/>
              <w:bottom w:w="80" w:type="dxa"/>
              <w:start w:w="120" w:type="dxa"/>
              <w:end w:w="120" w:type="dxa"/>
            </w:tcMar>
            <w:vAlign w:val="center"/>
          </w:tcPr>
          <w:p>
            <w:pPr>
              <w:spacing w:after="0" w:line="259" w:lineRule="auto"/>
            </w:pPr>
            <w:r>
              <w:rPr>
                <w:rFonts w:ascii="Calibri" w:hAnsi="Calibri"/>
                <w:b w:val="0"/>
                <w:i w:val="0"/>
                <w:color w:val="102A43"/>
                <w:sz w:val="18"/>
              </w:rPr>
              <w:t>architecture, policy v0, AI-BOM v0, 2 routes</w:t>
            </w:r>
          </w:p>
        </w:tc>
        <w:tc>
          <w:tcPr>
            <w:tcW w:type="dxa" w:w="2860"/>
            <w:tcMar>
              <w:top w:w="80" w:type="dxa"/>
              <w:bottom w:w="80" w:type="dxa"/>
              <w:start w:w="120" w:type="dxa"/>
              <w:end w:w="120" w:type="dxa"/>
            </w:tcMar>
            <w:vAlign w:val="center"/>
          </w:tcPr>
          <w:p>
            <w:pPr>
              <w:spacing w:after="0" w:line="259" w:lineRule="auto"/>
            </w:pPr>
            <w:r>
              <w:rPr>
                <w:rFonts w:ascii="Calibri" w:hAnsi="Calibri"/>
                <w:b w:val="0"/>
                <w:i w:val="0"/>
                <w:color w:val="102A43"/>
                <w:sz w:val="18"/>
              </w:rPr>
              <w:t>workload interne de bout en bout</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i w:val="0"/>
                <w:color w:val="102A43"/>
                <w:sz w:val="18"/>
              </w:rPr>
              <w:t>Jour 10</w:t>
            </w:r>
          </w:p>
        </w:tc>
        <w:tc>
          <w:tcPr>
            <w:tcW w:type="dxa" w:w="4700"/>
            <w:tcMar>
              <w:top w:w="80" w:type="dxa"/>
              <w:bottom w:w="80" w:type="dxa"/>
              <w:start w:w="120" w:type="dxa"/>
              <w:end w:w="120" w:type="dxa"/>
            </w:tcMar>
            <w:vAlign w:val="center"/>
          </w:tcPr>
          <w:p>
            <w:pPr>
              <w:spacing w:after="0" w:line="259" w:lineRule="auto"/>
            </w:pPr>
            <w:r>
              <w:rPr>
                <w:rFonts w:ascii="Calibri" w:hAnsi="Calibri"/>
                <w:b w:val="0"/>
                <w:i w:val="0"/>
                <w:color w:val="102A43"/>
                <w:sz w:val="18"/>
              </w:rPr>
              <w:t>pilot avec design partner et Exit Test v0</w:t>
            </w:r>
          </w:p>
        </w:tc>
        <w:tc>
          <w:tcPr>
            <w:tcW w:type="dxa" w:w="2860"/>
            <w:tcMar>
              <w:top w:w="80" w:type="dxa"/>
              <w:bottom w:w="80" w:type="dxa"/>
              <w:start w:w="120" w:type="dxa"/>
              <w:end w:w="120" w:type="dxa"/>
            </w:tcMar>
            <w:vAlign w:val="center"/>
          </w:tcPr>
          <w:p>
            <w:pPr>
              <w:spacing w:after="0" w:line="259" w:lineRule="auto"/>
            </w:pPr>
            <w:r>
              <w:rPr>
                <w:rFonts w:ascii="Calibri" w:hAnsi="Calibri"/>
                <w:b w:val="0"/>
                <w:i w:val="0"/>
                <w:color w:val="102A43"/>
                <w:sz w:val="18"/>
              </w:rPr>
              <w:t>preuve exportable</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i w:val="0"/>
                <w:color w:val="102A43"/>
                <w:sz w:val="18"/>
              </w:rPr>
              <w:t>Jour 30</w:t>
            </w:r>
          </w:p>
        </w:tc>
        <w:tc>
          <w:tcPr>
            <w:tcW w:type="dxa" w:w="4700"/>
            <w:tcMar>
              <w:top w:w="80" w:type="dxa"/>
              <w:bottom w:w="80" w:type="dxa"/>
              <w:start w:w="120" w:type="dxa"/>
              <w:end w:w="120" w:type="dxa"/>
            </w:tcMar>
            <w:vAlign w:val="center"/>
          </w:tcPr>
          <w:p>
            <w:pPr>
              <w:spacing w:after="0" w:line="259" w:lineRule="auto"/>
            </w:pPr>
            <w:r>
              <w:rPr>
                <w:rFonts w:ascii="Calibri" w:hAnsi="Calibri"/>
                <w:b w:val="0"/>
                <w:i w:val="0"/>
                <w:color w:val="102A43"/>
                <w:sz w:val="18"/>
              </w:rPr>
              <w:t>2–3 workloads, coût et qualité mesurés</w:t>
            </w:r>
          </w:p>
        </w:tc>
        <w:tc>
          <w:tcPr>
            <w:tcW w:type="dxa" w:w="2860"/>
            <w:tcMar>
              <w:top w:w="80" w:type="dxa"/>
              <w:bottom w:w="80" w:type="dxa"/>
              <w:start w:w="120" w:type="dxa"/>
              <w:end w:w="120" w:type="dxa"/>
            </w:tcMar>
            <w:vAlign w:val="center"/>
          </w:tcPr>
          <w:p>
            <w:pPr>
              <w:spacing w:after="0" w:line="259" w:lineRule="auto"/>
            </w:pPr>
            <w:r>
              <w:rPr>
                <w:rFonts w:ascii="Calibri" w:hAnsi="Calibri"/>
                <w:b w:val="0"/>
                <w:i w:val="0"/>
                <w:color w:val="102A43"/>
                <w:sz w:val="18"/>
              </w:rPr>
              <w:t>go/pivot/stop</w:t>
            </w:r>
          </w:p>
        </w:tc>
      </w:tr>
      <w:tr>
        <w:tc>
          <w:tcPr>
            <w:tcW w:type="dxa" w:w="1800"/>
            <w:tcMar>
              <w:top w:w="80" w:type="dxa"/>
              <w:bottom w:w="80" w:type="dxa"/>
              <w:start w:w="120" w:type="dxa"/>
              <w:end w:w="120" w:type="dxa"/>
            </w:tcMar>
            <w:vAlign w:val="center"/>
          </w:tcPr>
          <w:p>
            <w:pPr>
              <w:spacing w:after="0" w:line="259" w:lineRule="auto"/>
            </w:pPr>
            <w:r>
              <w:rPr>
                <w:rFonts w:ascii="Calibri" w:hAnsi="Calibri"/>
                <w:b w:val="0"/>
                <w:i w:val="0"/>
                <w:color w:val="102A43"/>
                <w:sz w:val="18"/>
              </w:rPr>
              <w:t>26 septembre</w:t>
            </w:r>
          </w:p>
        </w:tc>
        <w:tc>
          <w:tcPr>
            <w:tcW w:type="dxa" w:w="4700"/>
            <w:tcMar>
              <w:top w:w="80" w:type="dxa"/>
              <w:bottom w:w="80" w:type="dxa"/>
              <w:start w:w="120" w:type="dxa"/>
              <w:end w:w="120" w:type="dxa"/>
            </w:tcMar>
            <w:vAlign w:val="center"/>
          </w:tcPr>
          <w:p>
            <w:pPr>
              <w:spacing w:after="0" w:line="259" w:lineRule="auto"/>
            </w:pPr>
            <w:r>
              <w:rPr>
                <w:rFonts w:ascii="Calibri" w:hAnsi="Calibri"/>
                <w:b w:val="0"/>
                <w:i w:val="0"/>
                <w:color w:val="102A43"/>
                <w:sz w:val="18"/>
              </w:rPr>
              <w:t>démonstration Crédit Agricole CFO</w:t>
            </w:r>
          </w:p>
        </w:tc>
        <w:tc>
          <w:tcPr>
            <w:tcW w:type="dxa" w:w="2860"/>
            <w:tcMar>
              <w:top w:w="80" w:type="dxa"/>
              <w:bottom w:w="80" w:type="dxa"/>
              <w:start w:w="120" w:type="dxa"/>
              <w:end w:w="120" w:type="dxa"/>
            </w:tcMar>
            <w:vAlign w:val="center"/>
          </w:tcPr>
          <w:p>
            <w:pPr>
              <w:spacing w:after="0" w:line="259" w:lineRule="auto"/>
            </w:pPr>
            <w:r>
              <w:rPr>
                <w:rFonts w:ascii="Calibri" w:hAnsi="Calibri"/>
                <w:b w:val="0"/>
                <w:i w:val="0"/>
                <w:color w:val="102A43"/>
                <w:sz w:val="18"/>
              </w:rPr>
              <w:t>cas client + DORA Exit Test + offre</w:t>
            </w:r>
          </w:p>
        </w:tc>
      </w:tr>
    </w:tbl>
    <w:p>
      <w:pPr>
        <w:spacing w:after="20"/>
      </w:pPr>
    </w:p>
    <w:p>
      <w:pPr>
        <w:pStyle w:val="ListBullet"/>
      </w:pPr>
      <w:r>
        <w:rPr>
          <w:rFonts w:ascii="Calibri" w:hAnsi="Calibri"/>
          <w:b w:val="0"/>
          <w:i w:val="0"/>
          <w:color w:val="102A43"/>
          <w:sz w:val="22"/>
        </w:rPr>
        <w:t>Nommer Tech Lead, Product Lead, Evaluation Lead, Legal/DPO, Growth et FinOps.</w:t>
      </w:r>
    </w:p>
    <w:p>
      <w:pPr>
        <w:pStyle w:val="ListBullet"/>
      </w:pPr>
      <w:r>
        <w:rPr>
          <w:rFonts w:ascii="Calibri" w:hAnsi="Calibri"/>
          <w:b w:val="0"/>
          <w:i w:val="0"/>
          <w:color w:val="102A43"/>
          <w:sz w:val="22"/>
        </w:rPr>
        <w:t>Envoyer les demandes fournisseurs à Nebius, Vercel, RunPod, Anthropic et Mistral.</w:t>
      </w:r>
    </w:p>
    <w:p>
      <w:pPr>
        <w:pStyle w:val="ListBullet"/>
      </w:pPr>
      <w:r>
        <w:rPr>
          <w:rFonts w:ascii="Calibri" w:hAnsi="Calibri"/>
          <w:b w:val="0"/>
          <w:i w:val="0"/>
          <w:color w:val="102A43"/>
          <w:sz w:val="22"/>
        </w:rPr>
        <w:t>Activer Market Radar, Chinese Model &amp; License Radar et CEO Memo.</w:t>
      </w:r>
    </w:p>
    <w:p>
      <w:pPr>
        <w:pStyle w:val="ListBullet"/>
      </w:pPr>
      <w:r>
        <w:rPr>
          <w:rFonts w:ascii="Calibri" w:hAnsi="Calibri"/>
          <w:b w:val="0"/>
          <w:i w:val="0"/>
          <w:color w:val="102A43"/>
          <w:sz w:val="22"/>
        </w:rPr>
        <w:t>Faire une démonstration quotidienne à 17:30 pendant dix jours.</w:t>
      </w:r>
    </w:p>
    <w:p>
      <w:pPr>
        <w:pStyle w:val="Heading1"/>
      </w:pPr>
      <w:r>
        <w:t>10. Indicateurs et décisions</w:t>
      </w:r>
    </w:p>
    <w:tbl>
      <w:tblPr>
        <w:tblStyle w:val="TableGrid"/>
        <w:tblW w:type="dxa" w:w="9360"/>
        <w:jc w:val="left"/>
        <w:tblLayout w:type="fixed"/>
        <w:tblLook w:firstColumn="1" w:firstRow="1" w:lastColumn="0" w:lastRow="0" w:noHBand="0" w:noVBand="1" w:val="04A0"/>
        <w:tblInd w:w="120" w:type="dxa"/>
      </w:tblPr>
      <w:tblGrid>
        <w:gridCol w:w="2100"/>
        <w:gridCol w:w="5000"/>
        <w:gridCol w:w="2260"/>
      </w:tblGrid>
      <w:tr>
        <w:trPr>
          <w:tblHeader w:val="true"/>
        </w:trPr>
        <w:tc>
          <w:tcPr>
            <w:tcW w:type="dxa" w:w="2100"/>
            <w:shd w:fill="E8EEF5"/>
            <w:tcMar>
              <w:top w:w="80" w:type="dxa"/>
              <w:bottom w:w="80" w:type="dxa"/>
              <w:start w:w="120" w:type="dxa"/>
              <w:end w:w="120" w:type="dxa"/>
            </w:tcMar>
            <w:vAlign w:val="center"/>
          </w:tcPr>
          <w:p>
            <w:pPr>
              <w:spacing w:after="0"/>
            </w:pPr>
            <w:r>
              <w:rPr>
                <w:rFonts w:ascii="Calibri" w:hAnsi="Calibri"/>
                <w:b/>
                <w:i w:val="0"/>
                <w:color w:val="102A43"/>
                <w:sz w:val="19"/>
              </w:rPr>
              <w:t>Indicateur</w:t>
            </w:r>
          </w:p>
        </w:tc>
        <w:tc>
          <w:tcPr>
            <w:tcW w:type="dxa" w:w="5000"/>
            <w:shd w:fill="E8EEF5"/>
            <w:tcMar>
              <w:top w:w="80" w:type="dxa"/>
              <w:bottom w:w="80" w:type="dxa"/>
              <w:start w:w="120" w:type="dxa"/>
              <w:end w:w="120" w:type="dxa"/>
            </w:tcMar>
            <w:vAlign w:val="center"/>
          </w:tcPr>
          <w:p>
            <w:pPr>
              <w:spacing w:after="0"/>
            </w:pPr>
            <w:r>
              <w:rPr>
                <w:rFonts w:ascii="Calibri" w:hAnsi="Calibri"/>
                <w:b/>
                <w:i w:val="0"/>
                <w:color w:val="102A43"/>
                <w:sz w:val="19"/>
              </w:rPr>
              <w:t>Définition</w:t>
            </w:r>
          </w:p>
        </w:tc>
        <w:tc>
          <w:tcPr>
            <w:tcW w:type="dxa" w:w="2260"/>
            <w:shd w:fill="E8EEF5"/>
            <w:tcMar>
              <w:top w:w="80" w:type="dxa"/>
              <w:bottom w:w="80" w:type="dxa"/>
              <w:start w:w="120" w:type="dxa"/>
              <w:end w:w="120" w:type="dxa"/>
            </w:tcMar>
            <w:vAlign w:val="center"/>
          </w:tcPr>
          <w:p>
            <w:pPr>
              <w:spacing w:after="0"/>
            </w:pPr>
            <w:r>
              <w:rPr>
                <w:rFonts w:ascii="Calibri" w:hAnsi="Calibri"/>
                <w:b/>
                <w:i w:val="0"/>
                <w:color w:val="102A43"/>
                <w:sz w:val="19"/>
              </w:rPr>
              <w:t>Cible J30</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Policy coverage</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part des routes et données couvertes par des règles explicites</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100 % du pilote</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Evidence completeness</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part des événements avec modèle, version, région, coût et contrôle</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100 %</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Exit Test</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capacité à rejouer vers une alternative</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au moins un PASS</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Qualité</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régressions critiques par rapport à la baseline</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0</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Économie vérifiée</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gain sur réponses ayant passé les contrôles</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positive sur 2 cas</w:t>
            </w:r>
          </w:p>
        </w:tc>
      </w:tr>
      <w:tr>
        <w:tc>
          <w:tcPr>
            <w:tcW w:type="dxa" w:w="2100"/>
            <w:tcMar>
              <w:top w:w="80" w:type="dxa"/>
              <w:bottom w:w="80" w:type="dxa"/>
              <w:start w:w="120" w:type="dxa"/>
              <w:end w:w="120" w:type="dxa"/>
            </w:tcMar>
            <w:vAlign w:val="center"/>
          </w:tcPr>
          <w:p>
            <w:pPr>
              <w:spacing w:after="0" w:line="259" w:lineRule="auto"/>
            </w:pPr>
            <w:r>
              <w:rPr>
                <w:rFonts w:ascii="Calibri" w:hAnsi="Calibri"/>
                <w:b w:val="0"/>
                <w:i w:val="0"/>
                <w:color w:val="102A43"/>
                <w:sz w:val="18"/>
              </w:rPr>
              <w:t>Adoption</w:t>
            </w:r>
          </w:p>
        </w:tc>
        <w:tc>
          <w:tcPr>
            <w:tcW w:type="dxa" w:w="5000"/>
            <w:tcMar>
              <w:top w:w="80" w:type="dxa"/>
              <w:bottom w:w="80" w:type="dxa"/>
              <w:start w:w="120" w:type="dxa"/>
              <w:end w:w="120" w:type="dxa"/>
            </w:tcMar>
            <w:vAlign w:val="center"/>
          </w:tcPr>
          <w:p>
            <w:pPr>
              <w:spacing w:after="0" w:line="259" w:lineRule="auto"/>
            </w:pPr>
            <w:r>
              <w:rPr>
                <w:rFonts w:ascii="Calibri" w:hAnsi="Calibri"/>
                <w:b w:val="0"/>
                <w:i w:val="0"/>
                <w:color w:val="102A43"/>
                <w:sz w:val="18"/>
              </w:rPr>
              <w:t>design partners exécutant un workload réel</w:t>
            </w:r>
          </w:p>
        </w:tc>
        <w:tc>
          <w:tcPr>
            <w:tcW w:type="dxa" w:w="2260"/>
            <w:tcMar>
              <w:top w:w="80" w:type="dxa"/>
              <w:bottom w:w="80" w:type="dxa"/>
              <w:start w:w="120" w:type="dxa"/>
              <w:end w:w="120" w:type="dxa"/>
            </w:tcMar>
            <w:vAlign w:val="center"/>
          </w:tcPr>
          <w:p>
            <w:pPr>
              <w:spacing w:after="0" w:line="259" w:lineRule="auto"/>
            </w:pPr>
            <w:r>
              <w:rPr>
                <w:rFonts w:ascii="Calibri" w:hAnsi="Calibri"/>
                <w:b w:val="0"/>
                <w:i w:val="0"/>
                <w:color w:val="102A43"/>
                <w:sz w:val="18"/>
              </w:rPr>
              <w:t>3 à J10, 10 à J30</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GO. </w:t>
            </w:r>
            <w:r>
              <w:rPr>
                <w:rFonts w:ascii="Calibri" w:hAnsi="Calibri"/>
                <w:b w:val="0"/>
                <w:i w:val="0"/>
                <w:color w:val="102A43"/>
                <w:sz w:val="22"/>
              </w:rPr>
              <w:t>Continuer si la preuve est complète, une route alternative fonctionne, la qualité est acceptée et un acheteur veut financer le pilote suivant.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PIVOT. </w:t>
            </w:r>
            <w:r>
              <w:rPr>
                <w:rFonts w:ascii="Calibri" w:hAnsi="Calibri"/>
                <w:b w:val="0"/>
                <w:i w:val="0"/>
                <w:color w:val="102A43"/>
                <w:sz w:val="22"/>
              </w:rPr>
              <w:t>Réduire le périmètre à un secteur ou un artefact — par exemple l’Exit Test — si le router complet est trop large.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line="276" w:lineRule="auto"/>
            </w:pPr>
            <w:r>
              <w:rPr>
                <w:rFonts w:ascii="Calibri" w:hAnsi="Calibri"/>
                <w:b/>
                <w:i w:val="0"/>
                <w:color w:val="1E5AA8"/>
                <w:sz w:val="22"/>
              </w:rPr>
              <w:t xml:space="preserve">STOP. </w:t>
            </w:r>
            <w:r>
              <w:rPr>
                <w:rFonts w:ascii="Calibri" w:hAnsi="Calibri"/>
                <w:b w:val="0"/>
                <w:i w:val="0"/>
                <w:color w:val="102A43"/>
                <w:sz w:val="22"/>
              </w:rPr>
              <w:t>Arrêter la route concernée si les droits contractuels, la localisation ou la continuité ne peuvent pas être démontrés.</w:t>
            </w:r>
          </w:p>
        </w:tc>
      </w:tr>
    </w:tbl>
    <w:p>
      <w:pPr>
        <w:spacing w:after="20"/>
      </w:pPr>
    </w:p>
    <w:p>
      <w:pPr>
        <w:pStyle w:val="Heading1"/>
      </w:pPr>
      <w:r>
        <w:t>Annexe — Glossaire de réunion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bottom w:w="80" w:type="dxa"/>
              <w:start w:w="120" w:type="dxa"/>
              <w:end w:w="120" w:type="dxa"/>
            </w:tcMar>
            <w:vAlign w:val="center"/>
          </w:tcPr>
          <w:p>
            <w:pPr>
              <w:spacing w:after="0"/>
            </w:pPr>
            <w:r>
              <w:rPr>
                <w:rFonts w:ascii="Calibri" w:hAnsi="Calibri"/>
                <w:b/>
                <w:i w:val="0"/>
                <w:color w:val="102A43"/>
                <w:sz w:val="19"/>
              </w:rPr>
              <w:t>Expression entendue</w:t>
            </w:r>
          </w:p>
        </w:tc>
        <w:tc>
          <w:tcPr>
            <w:tcW w:type="dxa" w:w="6360"/>
            <w:shd w:fill="E8EEF5"/>
            <w:tcMar>
              <w:top w:w="80" w:type="dxa"/>
              <w:bottom w:w="80" w:type="dxa"/>
              <w:start w:w="120" w:type="dxa"/>
              <w:end w:w="120" w:type="dxa"/>
            </w:tcMar>
            <w:vAlign w:val="center"/>
          </w:tcPr>
          <w:p>
            <w:pPr>
              <w:spacing w:after="0"/>
            </w:pPr>
            <w:r>
              <w:rPr>
                <w:rFonts w:ascii="Calibri" w:hAnsi="Calibri"/>
                <w:b/>
                <w:i w:val="0"/>
                <w:color w:val="102A43"/>
                <w:sz w:val="19"/>
              </w:rPr>
              <w:t>Traduction immédiate</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Tri souverain</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choisir seulement parmi les routes autorisées et pouvoir le prouver</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Model registry</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catalogue versionné des modèles et fournisseurs</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AI-BOM</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inventaire des composants IA réellement utilisés</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Evidence Ledger</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journal des décisions et contrôles</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DORA Exit Test</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preuve par rejeu que l’on peut changer de route</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BYOK</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le client apporte sa clé fournisseur</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Shadow mode</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comparaison parallèle sans effet sur la production</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Canary</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activation sur une petite part du trafic</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Verifier</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test décidant si la réponse est acceptable</w:t>
            </w:r>
          </w:p>
        </w:tc>
      </w:tr>
      <w:tr>
        <w:tc>
          <w:tcPr>
            <w:tcW w:type="dxa" w:w="3000"/>
            <w:tcMar>
              <w:top w:w="80" w:type="dxa"/>
              <w:bottom w:w="80" w:type="dxa"/>
              <w:start w:w="120" w:type="dxa"/>
              <w:end w:w="120" w:type="dxa"/>
            </w:tcMar>
            <w:vAlign w:val="center"/>
          </w:tcPr>
          <w:p>
            <w:pPr>
              <w:spacing w:after="0" w:line="259" w:lineRule="auto"/>
            </w:pPr>
            <w:r>
              <w:rPr>
                <w:rFonts w:ascii="Calibri" w:hAnsi="Calibri"/>
                <w:b w:val="0"/>
                <w:i w:val="0"/>
                <w:color w:val="102A43"/>
                <w:sz w:val="18"/>
              </w:rPr>
              <w:t>Escalade</w:t>
            </w:r>
          </w:p>
        </w:tc>
        <w:tc>
          <w:tcPr>
            <w:tcW w:type="dxa" w:w="6360"/>
            <w:tcMar>
              <w:top w:w="80" w:type="dxa"/>
              <w:bottom w:w="80" w:type="dxa"/>
              <w:start w:w="120" w:type="dxa"/>
              <w:end w:w="120" w:type="dxa"/>
            </w:tcMar>
            <w:vAlign w:val="center"/>
          </w:tcPr>
          <w:p>
            <w:pPr>
              <w:spacing w:after="0" w:line="259" w:lineRule="auto"/>
            </w:pPr>
            <w:r>
              <w:rPr>
                <w:rFonts w:ascii="Calibri" w:hAnsi="Calibri"/>
                <w:b w:val="0"/>
                <w:i w:val="0"/>
                <w:color w:val="102A43"/>
                <w:sz w:val="18"/>
              </w:rPr>
              <w:t>nouvel essai avec un modèle plus puissant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66573"/>
        <w:sz w:val="17"/>
      </w:rPr>
      <w:t xml:space="preserve">Sovereign Router v1  •  19 août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66573"/>
        <w:sz w:val="17"/>
      </w:rPr>
      <w:t>KOLIBREE.AI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E5AA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E5A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6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02A4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02A4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Kolibree Sovereign Router — Launch Book</dc:title>
  <dc:subject/>
  <dc:creator>Kolibree.AI</dc:creator>
  <cp:keywords/>
  <dc:description>generated by python-docx</dc:description>
  <cp:lastModifiedBy/>
  <cp:revision>1</cp:revision>
  <dcterms:created xsi:type="dcterms:W3CDTF">2013-12-23T23:15:00Z</dcterms:created>
  <dcterms:modified xsi:type="dcterms:W3CDTF">2013-12-23T23:15:00Z</dcterms:modified>
  <cp:category/>
</cp:coreProperties>
</file>