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86f0bb23a7804df4dca3f11efd763364d1b0b58"/>
    <w:p>
      <w:pPr>
        <w:pStyle w:val="Heading1"/>
      </w:pPr>
      <w:r>
        <w:t xml:space="preserve">SeShop — Architecturally Significant Requirements (ASR)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SeShop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Omnichannel clothing &amp; accessories platform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SEI / Carnegie Mellon — Quality Attribute Workshop output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2026-04-30</w:t>
      </w:r>
    </w:p>
    <w:p>
      <w:r>
        <w:pict>
          <v:rect style="width:0;height:1.5pt" o:hralign="center" o:hrstd="t" o:hr="t"/>
        </w:pict>
      </w:r>
    </w:p>
    <w:bookmarkStart w:id="2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Initial ASR derived from BRD and SRS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656c7b6450ec476f453091ff6f524ec7bd654f">
        <w:r>
          <w:rPr>
            <w:rStyle w:val="Hyperlink"/>
          </w:rPr>
          <w:t xml:space="preserve">Purpose</w:t>
        </w:r>
      </w:hyperlink>
    </w:p>
    <w:p>
      <w:pPr>
        <w:pStyle w:val="Compact"/>
        <w:numPr>
          <w:ilvl w:val="0"/>
          <w:numId w:val="1001"/>
        </w:numPr>
      </w:pPr>
      <w:hyperlink w:anchor="X37d920f040a72f4f291b5294988d390fc8c5ab6">
        <w:r>
          <w:rPr>
            <w:rStyle w:val="Hyperlink"/>
          </w:rPr>
          <w:t xml:space="preserve">Source Documents</w:t>
        </w:r>
      </w:hyperlink>
    </w:p>
    <w:p>
      <w:pPr>
        <w:pStyle w:val="Compact"/>
        <w:numPr>
          <w:ilvl w:val="0"/>
          <w:numId w:val="1001"/>
        </w:numPr>
      </w:pPr>
      <w:hyperlink w:anchor="X90aec276ba398dbd56fd57a088840248f04858f">
        <w:r>
          <w:rPr>
            <w:rStyle w:val="Hyperlink"/>
          </w:rPr>
          <w:t xml:space="preserve">Business Goals</w:t>
        </w:r>
      </w:hyperlink>
    </w:p>
    <w:p>
      <w:pPr>
        <w:pStyle w:val="Compact"/>
        <w:numPr>
          <w:ilvl w:val="0"/>
          <w:numId w:val="1001"/>
        </w:numPr>
      </w:pPr>
      <w:hyperlink w:anchor="X6e0cab2cf2c5296872c68570e517733c80e22fa">
        <w:r>
          <w:rPr>
            <w:rStyle w:val="Hyperlink"/>
          </w:rPr>
          <w:t xml:space="preserve">Architectural Constraints</w:t>
        </w:r>
      </w:hyperlink>
    </w:p>
    <w:p>
      <w:pPr>
        <w:pStyle w:val="Compact"/>
        <w:numPr>
          <w:ilvl w:val="0"/>
          <w:numId w:val="1001"/>
        </w:numPr>
      </w:pPr>
      <w:hyperlink w:anchor="Xadb1cbc5533280645c207aac22cc757995714b9">
        <w:r>
          <w:rPr>
            <w:rStyle w:val="Hyperlink"/>
          </w:rPr>
          <w:t xml:space="preserve">Quality Attribute Scenarios</w:t>
        </w:r>
      </w:hyperlink>
    </w:p>
    <w:p>
      <w:pPr>
        <w:pStyle w:val="Compact"/>
        <w:numPr>
          <w:ilvl w:val="0"/>
          <w:numId w:val="1001"/>
        </w:numPr>
      </w:pPr>
      <w:hyperlink w:anchor="Xb8935422661b932c446dcac52da823ae609fc6c">
        <w:r>
          <w:rPr>
            <w:rStyle w:val="Hyperlink"/>
          </w:rPr>
          <w:t xml:space="preserve">ASR Priority Matrix</w:t>
        </w:r>
      </w:hyperlink>
    </w:p>
    <w:p>
      <w:pPr>
        <w:pStyle w:val="Compact"/>
        <w:numPr>
          <w:ilvl w:val="0"/>
          <w:numId w:val="1001"/>
        </w:numPr>
      </w:pPr>
      <w:hyperlink w:anchor="X5955b10d6c5d10c6e765457ae3cd21db9b5c360">
        <w:r>
          <w:rPr>
            <w:rStyle w:val="Hyperlink"/>
          </w:rPr>
          <w:t xml:space="preserve">Traceability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captures the Architecturally Significant Requirements (ASRs) for the SeShop platform using the SEI Quality Attribute Workshop method. An ASR is any requirement that has a measurable effect on the system’s architecture.</w:t>
      </w:r>
    </w:p>
    <w:p>
      <w:pPr>
        <w:pStyle w:val="BodyText"/>
      </w:pPr>
      <w:r>
        <w:t xml:space="preserve">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repeat functional specifications. For use case definitions, see the</w:t>
      </w:r>
      <w:r>
        <w:t xml:space="preserve"> </w:t>
      </w:r>
      <w:hyperlink r:id="rId22">
        <w:r>
          <w:rPr>
            <w:rStyle w:val="Hyperlink"/>
          </w:rPr>
          <w:t xml:space="preserve">SRS</w:t>
        </w:r>
      </w:hyperlink>
      <w:r>
        <w:t xml:space="preserve">. For business context, see the</w:t>
      </w:r>
      <w:r>
        <w:t xml:space="preserve"> </w:t>
      </w:r>
      <w:hyperlink r:id="rId23">
        <w:r>
          <w:rPr>
            <w:rStyle w:val="Hyperlink"/>
          </w:rPr>
          <w:t xml:space="preserve">BRD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7" w:name="source-documents"/>
    <w:p>
      <w:pPr>
        <w:pStyle w:val="Heading2"/>
      </w:pPr>
      <w:r>
        <w:t xml:space="preserve">2. Source Documents</w:t>
      </w:r>
    </w:p>
    <w:p>
      <w:pPr>
        <w:pStyle w:val="FirstParagraph"/>
      </w:pPr>
      <w:r>
        <w:t xml:space="preserve">The ASRs in this document are derived from the following project artifacts: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SESHOP BRD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goals, NFR definitions (NFR-01 through NFR-07)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SESHOP SRS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Functional use cases (UC1–UC27), access matrix, performance targets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SESHOP HLD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drivers, quality attribute driver table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SeShop Views Desc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UX performance and workflow expectations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usiness-goals"/>
    <w:p>
      <w:pPr>
        <w:pStyle w:val="Heading2"/>
      </w:pPr>
      <w:r>
        <w:t xml:space="preserve">3. Business Goals</w:t>
      </w:r>
    </w:p>
    <w:p>
      <w:pPr>
        <w:pStyle w:val="FirstParagraph"/>
      </w:pPr>
      <w:r>
        <w:t xml:space="preserve">The following business goals drive architectural decisions. They are summarized here and defined in detail in</w:t>
      </w:r>
      <w:r>
        <w:t xml:space="preserve"> </w:t>
      </w:r>
      <w:hyperlink r:id="rId23">
        <w:r>
          <w:rPr>
            <w:rStyle w:val="Hyperlink"/>
          </w:rPr>
          <w:t xml:space="preserve">BRD Section 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Architecture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Single source of truth for stock across all locations</w:t>
            </w:r>
          </w:p>
        </w:tc>
        <w:tc>
          <w:tcPr/>
          <w:p>
            <w:pPr>
              <w:pStyle w:val="Compact"/>
            </w:pPr>
            <w:r>
              <w:t xml:space="preserve">Data model must enforce SKU-location uniqueness; no eventual consistency for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BG-2</w:t>
            </w:r>
          </w:p>
        </w:tc>
        <w:tc>
          <w:tcPr/>
          <w:p>
            <w:pPr>
              <w:pStyle w:val="Compact"/>
            </w:pPr>
            <w:r>
              <w:t xml:space="preserve">Prevent overselling during concurrent operations</w:t>
            </w:r>
          </w:p>
        </w:tc>
        <w:tc>
          <w:tcPr/>
          <w:p>
            <w:pPr>
              <w:pStyle w:val="Compact"/>
            </w:pPr>
            <w:r>
              <w:t xml:space="preserve">Requires transactional isolation for checkout, POS, and transfer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Fast staff operational workflows</w:t>
            </w:r>
          </w:p>
        </w:tc>
        <w:tc>
          <w:tcPr/>
          <w:p>
            <w:pPr>
              <w:pStyle w:val="Compact"/>
            </w:pPr>
            <w:r>
              <w:t xml:space="preserve">API latency targets; optimized UI for keyboard-driven dense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BG-4</w:t>
            </w:r>
          </w:p>
        </w:tc>
        <w:tc>
          <w:tcPr/>
          <w:p>
            <w:pPr>
              <w:pStyle w:val="Compact"/>
            </w:pPr>
            <w:r>
              <w:t xml:space="preserve">Secure governance through RBAC and audit</w:t>
            </w:r>
          </w:p>
        </w:tc>
        <w:tc>
          <w:tcPr/>
          <w:p>
            <w:pPr>
              <w:pStyle w:val="Compact"/>
            </w:pPr>
            <w:r>
              <w:t xml:space="preserve">Permission-driven authorization; append-only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BG-5</w:t>
            </w:r>
          </w:p>
        </w:tc>
        <w:tc>
          <w:tcPr/>
          <w:p>
            <w:pPr>
              <w:pStyle w:val="Compact"/>
            </w:pPr>
            <w:r>
              <w:t xml:space="preserve">Better customer conversion through discovery and recommendations</w:t>
            </w:r>
          </w:p>
        </w:tc>
        <w:tc>
          <w:tcPr/>
          <w:p>
            <w:pPr>
              <w:pStyle w:val="Compact"/>
            </w:pPr>
            <w:r>
              <w:t xml:space="preserve">AI integration adapter; stock freshness for availability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BG-6</w:t>
            </w:r>
          </w:p>
        </w:tc>
        <w:tc>
          <w:tcPr/>
          <w:p>
            <w:pPr>
              <w:pStyle w:val="Compact"/>
            </w:pPr>
            <w:r>
              <w:t xml:space="preserve">Marketing efficiency through Instagram workflows</w:t>
            </w:r>
          </w:p>
        </w:tc>
        <w:tc>
          <w:tcPr/>
          <w:p>
            <w:pPr>
              <w:pStyle w:val="Compact"/>
            </w:pPr>
            <w:r>
              <w:t xml:space="preserve">External OAuth integration; compose-review-approve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BG-7</w:t>
            </w:r>
          </w:p>
        </w:tc>
        <w:tc>
          <w:tcPr/>
          <w:p>
            <w:pPr>
              <w:pStyle w:val="Compact"/>
            </w:pPr>
            <w:r>
              <w:t xml:space="preserve">Maintainability through modular structure</w:t>
            </w:r>
          </w:p>
        </w:tc>
        <w:tc>
          <w:tcPr/>
          <w:p>
            <w:pPr>
              <w:pStyle w:val="Compact"/>
            </w:pPr>
            <w:r>
              <w:t xml:space="preserve">Module boundaries; inter-module communication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architectural-constraints"/>
    <w:p>
      <w:pPr>
        <w:pStyle w:val="Heading2"/>
      </w:pPr>
      <w:r>
        <w:t xml:space="preserve">4. Architectural Constraints</w:t>
      </w:r>
    </w:p>
    <w:p>
      <w:pPr>
        <w:pStyle w:val="FirstParagraph"/>
      </w:pPr>
      <w:r>
        <w:t xml:space="preserve">These are non-negotiable constraints that limit the design space. They are established in the</w:t>
      </w:r>
      <w:r>
        <w:t xml:space="preserve"> </w:t>
      </w:r>
      <w:hyperlink r:id="rId23">
        <w:r>
          <w:rPr>
            <w:rStyle w:val="Hyperlink"/>
          </w:rPr>
          <w:t xml:space="preserve">BRD Section 2.4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IMPLEMENTATION_PLAN.md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t xml:space="preserve">Backend must use Java 21 and Spring Boot 3.3</w:t>
            </w:r>
          </w:p>
        </w:tc>
        <w:tc>
          <w:tcPr/>
          <w:p>
            <w:pPr>
              <w:pStyle w:val="Compact"/>
            </w:pPr>
            <w:r>
              <w:t xml:space="preserve">Technology decision,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Frontend must use React 18 + TypeScript 5 + Vite</w:t>
            </w:r>
          </w:p>
        </w:tc>
        <w:tc>
          <w:tcPr/>
          <w:p>
            <w:pPr>
              <w:pStyle w:val="Compact"/>
            </w:pPr>
            <w:r>
              <w:t xml:space="preserve">Technology decision,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Database must be PostgreSQL 15</w:t>
            </w:r>
          </w:p>
        </w:tc>
        <w:tc>
          <w:tcPr/>
          <w:p>
            <w:pPr>
              <w:pStyle w:val="Compact"/>
            </w:pPr>
            <w:r>
              <w:t xml:space="preserve">Technology decision,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Architecture style is Modular Monolith (not microservices)</w:t>
            </w:r>
          </w:p>
        </w:tc>
        <w:tc>
          <w:tcPr/>
          <w:p>
            <w:pPr>
              <w:pStyle w:val="Compact"/>
            </w:pPr>
            <w:r>
              <w:t xml:space="preserve">HLD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t xml:space="preserve">Payment integration limited to Stripe and Cash on Delivery</w:t>
            </w:r>
          </w:p>
        </w:tc>
        <w:tc>
          <w:tcPr/>
          <w:p>
            <w:pPr>
              <w:pStyle w:val="Compact"/>
            </w:pPr>
            <w:r>
              <w:t xml:space="preserve">BRD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No auto-publish to Instagram; manual review gate required</w:t>
            </w:r>
          </w:p>
        </w:tc>
        <w:tc>
          <w:tcPr/>
          <w:p>
            <w:pPr>
              <w:pStyle w:val="Compact"/>
            </w:pPr>
            <w:r>
              <w:t xml:space="preserve">SRS UC11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available_qty</w:t>
            </w:r>
            <w:r>
              <w:t xml:space="preserve"> </w:t>
            </w:r>
            <w:r>
              <w:t xml:space="preserve">must be computed (</w:t>
            </w:r>
            <w:r>
              <w:rPr>
                <w:rStyle w:val="VerbatimChar"/>
              </w:rPr>
              <w:t xml:space="preserve">on_hand_qty - reserved_qty</w:t>
            </w:r>
            <w:r>
              <w:t xml:space="preserve">), never stored</w:t>
            </w:r>
          </w:p>
        </w:tc>
        <w:tc>
          <w:tcPr/>
          <w:p>
            <w:pPr>
              <w:pStyle w:val="Compact"/>
            </w:pPr>
            <w:r>
              <w:t xml:space="preserve">Schema design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CON-8</w:t>
            </w:r>
          </w:p>
        </w:tc>
        <w:tc>
          <w:tcPr/>
          <w:p>
            <w:pPr>
              <w:pStyle w:val="Compact"/>
            </w:pPr>
            <w:r>
              <w:t xml:space="preserve">Flyway for database migrations</w:t>
            </w:r>
          </w:p>
        </w:tc>
        <w:tc>
          <w:tcPr/>
          <w:p>
            <w:pPr>
              <w:pStyle w:val="Compact"/>
            </w:pPr>
            <w:r>
              <w:t xml:space="preserve">Technology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CON-9</w:t>
            </w:r>
          </w:p>
        </w:tc>
        <w:tc>
          <w:tcPr/>
          <w:p>
            <w:pPr>
              <w:pStyle w:val="Compact"/>
            </w:pPr>
            <w:r>
              <w:t xml:space="preserve">Single discount code per order in v1</w:t>
            </w:r>
          </w:p>
        </w:tc>
        <w:tc>
          <w:tcPr/>
          <w:p>
            <w:pPr>
              <w:pStyle w:val="Compact"/>
            </w:pPr>
            <w:r>
              <w:t xml:space="preserve">SRS UC10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CON-10</w:t>
            </w:r>
          </w:p>
        </w:tc>
        <w:tc>
          <w:tcPr/>
          <w:p>
            <w:pPr>
              <w:pStyle w:val="Compact"/>
            </w:pPr>
            <w:r>
              <w:t xml:space="preserve">UI must support Vietnamese and English localization</w:t>
            </w:r>
          </w:p>
        </w:tc>
        <w:tc>
          <w:tcPr/>
          <w:p>
            <w:pPr>
              <w:pStyle w:val="Compact"/>
            </w:pPr>
            <w:r>
              <w:t xml:space="preserve">SRS Section 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5" w:name="quality-attribute-scenarios"/>
    <w:p>
      <w:pPr>
        <w:pStyle w:val="Heading2"/>
      </w:pPr>
      <w:r>
        <w:t xml:space="preserve">5. Quality Attribute Scenarios</w:t>
      </w:r>
    </w:p>
    <w:p>
      <w:pPr>
        <w:pStyle w:val="FirstParagraph"/>
      </w:pPr>
      <w:r>
        <w:t xml:space="preserve">Each scenario follows the SEI 6-part quality attribute scenario format:</w:t>
      </w:r>
    </w:p>
    <w:p>
      <w:pPr>
        <w:pStyle w:val="BodyText"/>
      </w:pPr>
      <w:r>
        <w:rPr>
          <w:b/>
          <w:bCs/>
        </w:rPr>
        <w:t xml:space="preserve">Source → Stimulus → Artifact → Environment → Response → Response Measure</w:t>
      </w:r>
    </w:p>
    <w:p>
      <w:r>
        <w:pict>
          <v:rect style="width:0;height:1.5pt" o:hralign="center" o:hrstd="t" o:hr="t"/>
        </w:pict>
      </w:r>
    </w:p>
    <w:bookmarkStart w:id="31" w:name="qas-1-performance-product-search-latency"/>
    <w:p>
      <w:pPr>
        <w:pStyle w:val="Heading3"/>
      </w:pPr>
      <w:r>
        <w:t xml:space="preserve">QAS-1: Performance — Product Search Latency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Submits a product search/filter query with category, size, color, and price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Product catalog service and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operating conditions (typical daily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System returns paginated, filtered product list with availability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95th percentile response time ≤ 2 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NFR-01, SRS Section 3.2</w:t>
      </w:r>
    </w:p>
    <w:p>
      <w:r>
        <w:pict>
          <v:rect style="width:0;height:1.5pt" o:hralign="center" o:hrstd="t" o:hr="t"/>
        </w:pict>
      </w:r>
    </w:p>
    <w:bookmarkEnd w:id="31"/>
    <w:bookmarkStart w:id="32" w:name="X70641359b3507c7f61753daa126a65d1c1ee19e"/>
    <w:p>
      <w:pPr>
        <w:pStyle w:val="Heading3"/>
      </w:pPr>
      <w:r>
        <w:t xml:space="preserve">QAS-2: Performance — Inventory Update Latency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Submits an inventory adjustment, transfer confirmation, or POS stock decrement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Inventory service and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operating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Stock mutation is committed atomically and audit log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Commit latency ≤ 500 ms for standard operations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 Section 3.2</w:t>
      </w:r>
    </w:p>
    <w:p>
      <w:r>
        <w:pict>
          <v:rect style="width:0;height:1.5pt" o:hralign="center" o:hrstd="t" o:hr="t"/>
        </w:pict>
      </w:r>
    </w:p>
    <w:bookmarkEnd w:id="32"/>
    <w:bookmarkStart w:id="33" w:name="qas-3-reliability-checkout-consistency"/>
    <w:p>
      <w:pPr>
        <w:pStyle w:val="Heading3"/>
      </w:pPr>
      <w:r>
        <w:t xml:space="preserve">QAS-3: Reliability — Checkout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Completes checkout with payment (Stripe or COD) while another customer is simultaneously checking out the same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Commerce service (order, payment, inventory reservation)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Concurrent user access to limited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Exactly one customer’s order is created if only one unit is available; the other receives a clear</w:t>
            </w:r>
            <w:r>
              <w:t xml:space="preserve"> </w:t>
            </w:r>
            <w:r>
              <w:t xml:space="preserve">“insufficient stock”</w:t>
            </w:r>
            <w:r>
              <w:t xml:space="preserve"> </w:t>
            </w:r>
            <w:r>
              <w:t xml:space="preserve">error with no partial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oversell events; failed checkout leaves no orphaned orders or payment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NFR-02, BG-2, SRS UC15 business rules</w:t>
      </w:r>
    </w:p>
    <w:p>
      <w:r>
        <w:pict>
          <v:rect style="width:0;height:1.5pt" o:hralign="center" o:hrstd="t" o:hr="t"/>
        </w:pict>
      </w:r>
    </w:p>
    <w:bookmarkEnd w:id="33"/>
    <w:bookmarkStart w:id="34" w:name="qas-4-reliability-system-availability"/>
    <w:p>
      <w:pPr>
        <w:pStyle w:val="Heading3"/>
      </w:pPr>
      <w:r>
        <w:t xml:space="preserve">QAS-4: Reliability — System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All users (customers, staff,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Attempt to access core commerce functionality at any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SeShop platform (backend API + database)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System processes the request normally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99.9% monthly availability for core commerce services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NFR-03, SRS Section 3.2</w:t>
      </w:r>
    </w:p>
    <w:p>
      <w:r>
        <w:pict>
          <v:rect style="width:0;height:1.5pt" o:hralign="center" o:hrstd="t" o:hr="t"/>
        </w:pict>
      </w:r>
    </w:p>
    <w:bookmarkEnd w:id="34"/>
    <w:bookmarkStart w:id="35" w:name="qas-5-security-rbac-enforcement"/>
    <w:p>
      <w:pPr>
        <w:pStyle w:val="Heading3"/>
      </w:pPr>
      <w:r>
        <w:t xml:space="preserve">QAS-5: Security — RBAC Enforcement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Authenticated staff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Attempts to invoke an API endpoint for which their effective permissions (union of assigned roles) do not include the required permission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Authorization layer (Spring Security + RBAC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System returns HTTP 403 with stable error code, logs the attempt, performs no side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100% enforcement — no privilege escalation is possible through API, regardless of frontend hiding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NFR-04, SRS Section 3.1, HLD Security Architecture</w:t>
      </w:r>
    </w:p>
    <w:p>
      <w:r>
        <w:pict>
          <v:rect style="width:0;height:1.5pt" o:hralign="center" o:hrstd="t" o:hr="t"/>
        </w:pict>
      </w:r>
    </w:p>
    <w:bookmarkEnd w:id="35"/>
    <w:bookmarkStart w:id="36" w:name="qas-6-security-sensitive-data-protection"/>
    <w:p>
      <w:pPr>
        <w:pStyle w:val="Heading3"/>
      </w:pPr>
      <w:r>
        <w:t xml:space="preserve">QAS-6: Security — Sensitive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External attacker or unauthorized internal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Attempt to access passwords, payment tokens, Instagram OAuth tokens, or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Database, API transport layer, external integration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Passwords stored as salted hashes; tokens encrypted at rest; all API traffic over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plaintext secrets in database or logs; TLS on all external-facing endpoints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NFR-04, HLD Section 13 (Security Architecture)</w:t>
      </w:r>
    </w:p>
    <w:p>
      <w:r>
        <w:pict>
          <v:rect style="width:0;height:1.5pt" o:hralign="center" o:hrstd="t" o:hr="t"/>
        </w:pict>
      </w:r>
    </w:p>
    <w:bookmarkEnd w:id="36"/>
    <w:bookmarkStart w:id="37" w:name="qas-7-auditability-immutable-audit-trail"/>
    <w:p>
      <w:pPr>
        <w:pStyle w:val="Heading3"/>
      </w:pPr>
      <w:r>
        <w:t xml:space="preserve">QAS-7: Auditability — Immutable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Authorized staff or automated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Performs any sensitive operation (role assignment, inventory adjustment, refund, POS close, payment, Instagram connection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Audit log subsystem (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An append-only audit record is created containing actor, action, target, timestamp, and before/after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100% coverage of sensitive operations listed in HLD Section 13; no delete or update operations available on audit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NFR-05, SRS UC4, HLD Section 13</w:t>
      </w:r>
    </w:p>
    <w:p>
      <w:r>
        <w:pict>
          <v:rect style="width:0;height:1.5pt" o:hralign="center" o:hrstd="t" o:hr="t"/>
        </w:pict>
      </w:r>
    </w:p>
    <w:bookmarkEnd w:id="37"/>
    <w:bookmarkStart w:id="38" w:name="Xa83199b4aeaa252ffbb30b715003a33f5f865c0"/>
    <w:p>
      <w:pPr>
        <w:pStyle w:val="Heading3"/>
      </w:pPr>
      <w:r>
        <w:t xml:space="preserve">QAS-8: Scalability — Location and SKU Growth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Business operations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Adds new store or storage locations and new product SKUs as business grows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Data model and inventory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operations; no planned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New locations and SKUs are added through normal operational UI/API without requiring schema migrations or code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schema changes required for adding locations/SKUs; system performance remains within QAS-1 and QAS-2 targets after growth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NFR-06</w:t>
      </w:r>
    </w:p>
    <w:p>
      <w:r>
        <w:pict>
          <v:rect style="width:0;height:1.5pt" o:hralign="center" o:hrstd="t" o:hr="t"/>
        </w:pict>
      </w:r>
    </w:p>
    <w:bookmarkEnd w:id="38"/>
    <w:bookmarkStart w:id="39" w:name="Xfe24c7c125081fcf5a1d94306c379bf69b72082"/>
    <w:p>
      <w:pPr>
        <w:pStyle w:val="Heading3"/>
      </w:pPr>
      <w:r>
        <w:t xml:space="preserve">QAS-9: Modifiability — Module Boundary Independence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Needs to change business rules in one domain module (e.g., new discount rule, modified return policy)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Backend module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 and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Changes are confined to the affected module’s domain and application layers; no code changes required in other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Blast radius of a single business rule change is limited to one module; no cross-module recompilation or redeployment required beyond the shared interface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BG-7, HLD Section 6 (Domain Decomposition), HLD Section 9 (Backend Module Interaction Rules)</w:t>
      </w:r>
    </w:p>
    <w:p>
      <w:r>
        <w:pict>
          <v:rect style="width:0;height:1.5pt" o:hralign="center" o:hrstd="t" o:hr="t"/>
        </w:pict>
      </w:r>
    </w:p>
    <w:bookmarkEnd w:id="39"/>
    <w:bookmarkStart w:id="40" w:name="Xf382813435ad874fd3ac859f26b250b4f419417"/>
    <w:p>
      <w:pPr>
        <w:pStyle w:val="Heading3"/>
      </w:pPr>
      <w:r>
        <w:t xml:space="preserve">QAS-10: Modifiability — External Integration Replacement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Business decides to switch payment provider (e.g., from Stripe to another) or shipping carrier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Integration adapters in infrastructure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 new adapter is implemented against the existing provider interface; no domain or application layer changes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Integration swap requires changes only in the</w:t>
            </w:r>
            <w:r>
              <w:t xml:space="preserve"> </w:t>
            </w:r>
            <w:r>
              <w:rPr>
                <w:rStyle w:val="VerbatimChar"/>
              </w:rPr>
              <w:t xml:space="preserve">infrastructure</w:t>
            </w:r>
            <w:r>
              <w:t xml:space="preserve"> </w:t>
            </w:r>
            <w:r>
              <w:t xml:space="preserve">package of the affected module; zero changes to domain services, API controllers, or database schema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HLD Section 12 (Integration Architecture), HLD Section 6 (Adapter pattern)</w:t>
      </w:r>
    </w:p>
    <w:p>
      <w:r>
        <w:pict>
          <v:rect style="width:0;height:1.5pt" o:hralign="center" o:hrstd="t" o:hr="t"/>
        </w:pict>
      </w:r>
    </w:p>
    <w:bookmarkEnd w:id="40"/>
    <w:bookmarkStart w:id="41" w:name="X27db949ecd89829e89fa842be765af6897ae62b"/>
    <w:p>
      <w:pPr>
        <w:pStyle w:val="Heading3"/>
      </w:pPr>
      <w:r>
        <w:t xml:space="preserve">QAS-11: Usability — Staff Workflow Efficiency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Trained staff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Performs a standard POS sale transaction (scan items, apply discount, process payment, print receipt)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Staff-facing frontend (POS module)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store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Transaction completes end-to-end without requiring mouse interaction for common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A trained cashier can complete a 3-item POS sale in ≤ 60 seconds using keyboard-primary interaction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BRD NFR-07, Views Description STAFF_007, HLD Section 10 (UX Notes)</w:t>
      </w:r>
    </w:p>
    <w:p>
      <w:r>
        <w:pict>
          <v:rect style="width:0;height:1.5pt" o:hralign="center" o:hrstd="t" o:hr="t"/>
        </w:pict>
      </w:r>
    </w:p>
    <w:bookmarkEnd w:id="41"/>
    <w:bookmarkStart w:id="42" w:name="X3cfc73f7f4369b4d5780f60dc21aa9b36ac3ca9"/>
    <w:p>
      <w:pPr>
        <w:pStyle w:val="Heading3"/>
      </w:pPr>
      <w:r>
        <w:t xml:space="preserve">QAS-12: Usability — Customer Checkout Friction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Proceeds from cart to order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Customer-facing frontend (checkout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conditions, desktop or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Multi-step checkout with real-time validation, immediate error feedback, and clear progress indication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Checkout requires ≤ 5 steps with no page reloads between steps; validation errors appear within 500ms of field blur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Views Description CUST_005, HLD Section 10 (UX Notes)</w:t>
      </w:r>
    </w:p>
    <w:p>
      <w:r>
        <w:pict>
          <v:rect style="width:0;height:1.5pt" o:hralign="center" o:hrstd="t" o:hr="t"/>
        </w:pict>
      </w:r>
    </w:p>
    <w:bookmarkEnd w:id="42"/>
    <w:bookmarkStart w:id="43" w:name="X7e94a46060a1f5aa4b4be418bb318fe11d33407"/>
    <w:p>
      <w:pPr>
        <w:pStyle w:val="Heading3"/>
      </w:pPr>
      <w:r>
        <w:t xml:space="preserve">QAS-13: Testability — Domain Logic Isolation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QA/Development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Needs to unit test a domain service (e.g., inventory reservation logic) without external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Domain layer of any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CI/CD test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Domain services are testable with in-memory mocks; no database, network, or filesystem access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80%+ code coverage on domain and application layers; all domain tests execute without container startup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HLD Section 6 (Layered Architecture), HLD Quality Attribute Drivers (Testability)</w:t>
      </w:r>
    </w:p>
    <w:p>
      <w:r>
        <w:pict>
          <v:rect style="width:0;height:1.5pt" o:hralign="center" o:hrstd="t" o:hr="t"/>
        </w:pict>
      </w:r>
    </w:p>
    <w:bookmarkEnd w:id="43"/>
    <w:bookmarkStart w:id="44" w:name="X44794aa0e0fcc3b4cab81c66cc59a5d07299ca3"/>
    <w:p>
      <w:pPr>
        <w:pStyle w:val="Heading3"/>
      </w:pPr>
      <w:r>
        <w:t xml:space="preserve">QAS-14: Reliability — Graceful External Failure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External system (payment gateway, shipping provider, AI service, Instagram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External system is unavailable or returns an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Integration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Production, degraded external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System returns a clear error to the user; retries are bounded and idempotent; no inconsistent internal state is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data corruption from external failures; user receives actionable error message within 5 seconds of 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HLD Section 12 (Integration Rules), HLD Section 19 (Risks — External API failure)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sr-priority-matrix"/>
    <w:p>
      <w:pPr>
        <w:pStyle w:val="Heading2"/>
      </w:pPr>
      <w:r>
        <w:t xml:space="preserve">6. ASR Priority Matrix</w:t>
      </w:r>
    </w:p>
    <w:p>
      <w:pPr>
        <w:pStyle w:val="FirstParagraph"/>
      </w:pPr>
      <w:r>
        <w:t xml:space="preserve">Priority is assessed on two dimensions:</w:t>
      </w:r>
      <w:r>
        <w:t xml:space="preserve"> </w:t>
      </w:r>
      <w:r>
        <w:rPr>
          <w:b/>
          <w:bCs/>
        </w:rPr>
        <w:t xml:space="preserve">importance to business</w:t>
      </w:r>
      <w:r>
        <w:t xml:space="preserve"> </w:t>
      </w:r>
      <w:r>
        <w:t xml:space="preserve">(H/M/L) and</w:t>
      </w:r>
      <w:r>
        <w:t xml:space="preserve"> </w:t>
      </w:r>
      <w:r>
        <w:rPr>
          <w:b/>
          <w:bCs/>
        </w:rPr>
        <w:t xml:space="preserve">difficulty to achieve</w:t>
      </w:r>
      <w:r>
        <w:t xml:space="preserve"> </w:t>
      </w:r>
      <w:r>
        <w:t xml:space="preserve">(H/M/L).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Quality Attribute</w:t>
            </w:r>
          </w:p>
        </w:tc>
        <w:tc>
          <w:tcPr/>
          <w:p>
            <w:pPr>
              <w:pStyle w:val="Compact"/>
            </w:pPr>
            <w:r>
              <w:t xml:space="preserve">Business Importance</w:t>
            </w:r>
          </w:p>
        </w:tc>
        <w:tc>
          <w:tcPr/>
          <w:p>
            <w:pPr>
              <w:pStyle w:val="Compact"/>
            </w:pPr>
            <w:r>
              <w:t xml:space="preserve">Architecture Difficulty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QAS-3</w:t>
            </w:r>
          </w:p>
        </w:tc>
        <w:tc>
          <w:tcPr/>
          <w:p>
            <w:pPr>
              <w:pStyle w:val="Compact"/>
            </w:pPr>
            <w:r>
              <w:t xml:space="preserve">Reliability — Checkout 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QAS-5</w:t>
            </w:r>
          </w:p>
        </w:tc>
        <w:tc>
          <w:tcPr/>
          <w:p>
            <w:pPr>
              <w:pStyle w:val="Compact"/>
            </w:pPr>
            <w:r>
              <w:t xml:space="preserve">Security — RBAC 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QAS-7</w:t>
            </w:r>
          </w:p>
        </w:tc>
        <w:tc>
          <w:tcPr/>
          <w:p>
            <w:pPr>
              <w:pStyle w:val="Compact"/>
            </w:pPr>
            <w:r>
              <w:t xml:space="preserve">Auditability — Immutable Audit Trail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</w:t>
            </w:r>
          </w:p>
        </w:tc>
        <w:tc>
          <w:tcPr/>
          <w:p>
            <w:pPr>
              <w:pStyle w:val="Compact"/>
            </w:pPr>
            <w:r>
              <w:t xml:space="preserve">Performance — Product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QAS-2</w:t>
            </w:r>
          </w:p>
        </w:tc>
        <w:tc>
          <w:tcPr/>
          <w:p>
            <w:pPr>
              <w:pStyle w:val="Compact"/>
            </w:pPr>
            <w:r>
              <w:t xml:space="preserve">Performance — Inventory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QAS-4</w:t>
            </w:r>
          </w:p>
        </w:tc>
        <w:tc>
          <w:tcPr/>
          <w:p>
            <w:pPr>
              <w:pStyle w:val="Compact"/>
            </w:pPr>
            <w:r>
              <w:t xml:space="preserve">Reliability — Availability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QAS-6</w:t>
            </w:r>
          </w:p>
        </w:tc>
        <w:tc>
          <w:tcPr/>
          <w:p>
            <w:pPr>
              <w:pStyle w:val="Compact"/>
            </w:pPr>
            <w:r>
              <w:t xml:space="preserve">Security — Data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QAS-9</w:t>
            </w:r>
          </w:p>
        </w:tc>
        <w:tc>
          <w:tcPr/>
          <w:p>
            <w:pPr>
              <w:pStyle w:val="Compact"/>
            </w:pPr>
            <w:r>
              <w:t xml:space="preserve">Modifiability — Module Boundaries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QAS-8</w:t>
            </w:r>
          </w:p>
        </w:tc>
        <w:tc>
          <w:tcPr/>
          <w:p>
            <w:pPr>
              <w:pStyle w:val="Compact"/>
            </w:pPr>
            <w:r>
              <w:t xml:space="preserve">Scalability — Location/SKU Growth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QAS-10</w:t>
            </w:r>
          </w:p>
        </w:tc>
        <w:tc>
          <w:tcPr/>
          <w:p>
            <w:pPr>
              <w:pStyle w:val="Compact"/>
            </w:pPr>
            <w:r>
              <w:t xml:space="preserve">Modifiability — Integration 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QAS-11</w:t>
            </w:r>
          </w:p>
        </w:tc>
        <w:tc>
          <w:tcPr/>
          <w:p>
            <w:pPr>
              <w:pStyle w:val="Compact"/>
            </w:pPr>
            <w:r>
              <w:t xml:space="preserve">Usability — Staff Efficiency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QAS-12</w:t>
            </w:r>
          </w:p>
        </w:tc>
        <w:tc>
          <w:tcPr/>
          <w:p>
            <w:pPr>
              <w:pStyle w:val="Compact"/>
            </w:pPr>
            <w:r>
              <w:t xml:space="preserve">Usability — Checkout Friction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QAS-13</w:t>
            </w:r>
          </w:p>
        </w:tc>
        <w:tc>
          <w:tcPr/>
          <w:p>
            <w:pPr>
              <w:pStyle w:val="Compact"/>
            </w:pPr>
            <w:r>
              <w:t xml:space="preserve">Testability — Domain Isolation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QAS-14</w:t>
            </w:r>
          </w:p>
        </w:tc>
        <w:tc>
          <w:tcPr/>
          <w:p>
            <w:pPr>
              <w:pStyle w:val="Compact"/>
            </w:pPr>
            <w:r>
              <w:t xml:space="preserve">Reliability — External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raceability"/>
    <w:p>
      <w:pPr>
        <w:pStyle w:val="Heading2"/>
      </w:pPr>
      <w:r>
        <w:t xml:space="preserve">7.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BRD NFR</w:t>
            </w:r>
          </w:p>
        </w:tc>
        <w:tc>
          <w:tcPr/>
          <w:p>
            <w:pPr>
              <w:pStyle w:val="Compact"/>
            </w:pPr>
            <w:r>
              <w:t xml:space="preserve">SRS Section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</w:t>
            </w:r>
          </w:p>
        </w:tc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Quality Attribute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Performance, Scalability, and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QAS-3</w:t>
            </w:r>
          </w:p>
        </w:tc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Reliability Approach; Concurrency Considerations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QAS-4</w:t>
            </w:r>
          </w:p>
        </w:tc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Performance, Scalability, and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QAS-5</w:t>
            </w:r>
          </w:p>
        </w:tc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QAS-6</w:t>
            </w:r>
          </w:p>
        </w:tc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QAS-7</w:t>
            </w:r>
          </w:p>
        </w:tc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Security Architecture;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QAS-8</w:t>
            </w:r>
          </w:p>
        </w:tc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Domain Decomposition; Backend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Integration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QAS-11</w:t>
            </w:r>
          </w:p>
        </w:tc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Frontend Architecture (UX Notes)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Frontend Architecture (UX Notes)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Quality Attribute Drivers (Testability)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QAS-14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Integration Architecture; Risks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./../IMPLEMENTATION_PLAN.md" TargetMode="External" /><Relationship Type="http://schemas.openxmlformats.org/officeDocument/2006/relationships/hyperlink" Id="rId23" Target="../1.BRD/SESHOP%20BRD.md" TargetMode="External" /><Relationship Type="http://schemas.openxmlformats.org/officeDocument/2006/relationships/hyperlink" Id="rId22" Target="../10.SRS/SESHOP%20SRS.md" TargetMode="External" /><Relationship Type="http://schemas.openxmlformats.org/officeDocument/2006/relationships/hyperlink" Id="rId26" Target="../4.%20View%20descriptions/SeShop%20Views%20Desc.md" TargetMode="External" /><Relationship Type="http://schemas.openxmlformats.org/officeDocument/2006/relationships/hyperlink" Id="rId25" Target="SESHOP%20HL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../IMPLEMENTATION_PLAN.md" TargetMode="External" /><Relationship Type="http://schemas.openxmlformats.org/officeDocument/2006/relationships/hyperlink" Id="rId23" Target="../1.BRD/SESHOP%20BRD.md" TargetMode="External" /><Relationship Type="http://schemas.openxmlformats.org/officeDocument/2006/relationships/hyperlink" Id="rId22" Target="../10.SRS/SESHOP%20SRS.md" TargetMode="External" /><Relationship Type="http://schemas.openxmlformats.org/officeDocument/2006/relationships/hyperlink" Id="rId26" Target="../4.%20View%20descriptions/SeShop%20Views%20Desc.md" TargetMode="External" /><Relationship Type="http://schemas.openxmlformats.org/officeDocument/2006/relationships/hyperlink" Id="rId25" Target="SESHOP%20HL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2026-05-22T13:17:00Z</dcterms:created>
  <dcterms:modified xsi:type="dcterms:W3CDTF">2026-05-22T13:17:00Z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