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65c338e4f86d90a72dee80081d80151b6d0b8a"/>
    <w:p>
      <w:pPr>
        <w:pStyle w:val="Heading1"/>
      </w:pPr>
      <w:r>
        <w:t xml:space="preserve">SeShop - Architecture Design Document (ADD)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SeShop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Omnichannel clothing and accessories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Architecture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Source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Template/ADD.docx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Initial ADD using iterative decomposition from ASR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Reformatted to match ADD.docx structure: design constraints, quality attribute requirements, and architectural representation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c398e73b3c7814d1ed208d15fd789c466e8dd2">
        <w:r>
          <w:rPr>
            <w:rStyle w:val="Hyperlink"/>
          </w:rPr>
          <w:t xml:space="preserve">Design Constraints</w:t>
        </w:r>
      </w:hyperlink>
    </w:p>
    <w:p>
      <w:pPr>
        <w:pStyle w:val="Compact"/>
        <w:numPr>
          <w:ilvl w:val="0"/>
          <w:numId w:val="1001"/>
        </w:numPr>
      </w:pPr>
      <w:hyperlink w:anchor="Xa58dabde42184bee7b67bf1e3922a0cf02ec931">
        <w:r>
          <w:rPr>
            <w:rStyle w:val="Hyperlink"/>
          </w:rPr>
          <w:t xml:space="preserve">Quality Attribute Requirements</w:t>
        </w:r>
      </w:hyperlink>
    </w:p>
    <w:p>
      <w:pPr>
        <w:pStyle w:val="Compact"/>
        <w:numPr>
          <w:ilvl w:val="1"/>
          <w:numId w:val="1002"/>
        </w:numPr>
      </w:pPr>
      <w:hyperlink w:anchor="Xb40a7d25a434b66dbecbb8dc1dfba878b94c865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1"/>
          <w:numId w:val="1002"/>
        </w:numPr>
      </w:pPr>
      <w:hyperlink w:anchor="Xcd240b0501a515f12e7816f88ef854abc126d15">
        <w:r>
          <w:rPr>
            <w:rStyle w:val="Hyperlink"/>
          </w:rPr>
          <w:t xml:space="preserve">Performance</w:t>
        </w:r>
      </w:hyperlink>
    </w:p>
    <w:p>
      <w:pPr>
        <w:pStyle w:val="Compact"/>
        <w:numPr>
          <w:ilvl w:val="1"/>
          <w:numId w:val="1002"/>
        </w:numPr>
      </w:pPr>
      <w:hyperlink w:anchor="X77cbbec94fb961a0c7d88c5cfc278c4eba6c3af">
        <w:r>
          <w:rPr>
            <w:rStyle w:val="Hyperlink"/>
          </w:rPr>
          <w:t xml:space="preserve">Usability</w:t>
        </w:r>
      </w:hyperlink>
    </w:p>
    <w:p>
      <w:pPr>
        <w:pStyle w:val="Compact"/>
        <w:numPr>
          <w:ilvl w:val="1"/>
          <w:numId w:val="1002"/>
        </w:numPr>
      </w:pPr>
      <w:hyperlink w:anchor="Xe5da079ef3e9dcbb7814ac064ccbfb93b9c4799">
        <w:r>
          <w:rPr>
            <w:rStyle w:val="Hyperlink"/>
          </w:rPr>
          <w:t xml:space="preserve">Interoperability</w:t>
        </w:r>
      </w:hyperlink>
    </w:p>
    <w:p>
      <w:pPr>
        <w:pStyle w:val="Compact"/>
        <w:numPr>
          <w:ilvl w:val="1"/>
          <w:numId w:val="1002"/>
        </w:numPr>
      </w:pPr>
      <w:hyperlink w:anchor="Xda0ca717aebe8bf062ef169566c0bb1b1672247">
        <w:r>
          <w:rPr>
            <w:rStyle w:val="Hyperlink"/>
          </w:rPr>
          <w:t xml:space="preserve">Modifiability</w:t>
        </w:r>
      </w:hyperlink>
    </w:p>
    <w:p>
      <w:pPr>
        <w:pStyle w:val="Compact"/>
        <w:numPr>
          <w:ilvl w:val="1"/>
          <w:numId w:val="1002"/>
        </w:numPr>
      </w:pPr>
      <w:hyperlink w:anchor="Xa18d08832c7d33c435bbb953763cba678a096b8">
        <w:r>
          <w:rPr>
            <w:rStyle w:val="Hyperlink"/>
          </w:rPr>
          <w:t xml:space="preserve">Availability</w:t>
        </w:r>
      </w:hyperlink>
    </w:p>
    <w:p>
      <w:pPr>
        <w:pStyle w:val="Compact"/>
        <w:numPr>
          <w:ilvl w:val="0"/>
          <w:numId w:val="1001"/>
        </w:numPr>
      </w:pPr>
      <w:hyperlink w:anchor="X7bae4056e553bc957c3ca06dd0fc94f39e178b5">
        <w:r>
          <w:rPr>
            <w:rStyle w:val="Hyperlink"/>
          </w:rPr>
          <w:t xml:space="preserve">Architectural Representation</w:t>
        </w:r>
      </w:hyperlink>
    </w:p>
    <w:p>
      <w:pPr>
        <w:pStyle w:val="Compact"/>
        <w:numPr>
          <w:ilvl w:val="1"/>
          <w:numId w:val="1003"/>
        </w:numPr>
      </w:pPr>
      <w:hyperlink w:anchor="X342971e1f1e83ffb21fbdc3fb476fe7515597bc">
        <w:r>
          <w:rPr>
            <w:rStyle w:val="Hyperlink"/>
          </w:rPr>
          <w:t xml:space="preserve">Logical View</w:t>
        </w:r>
      </w:hyperlink>
    </w:p>
    <w:p>
      <w:pPr>
        <w:pStyle w:val="Compact"/>
        <w:numPr>
          <w:ilvl w:val="1"/>
          <w:numId w:val="1003"/>
        </w:numPr>
      </w:pPr>
      <w:hyperlink w:anchor="Xcfc62c55a46637d8cd585b0d293f6d671cc2add">
        <w:r>
          <w:rPr>
            <w:rStyle w:val="Hyperlink"/>
          </w:rPr>
          <w:t xml:space="preserve">Implementation View</w:t>
        </w:r>
      </w:hyperlink>
    </w:p>
    <w:p>
      <w:pPr>
        <w:pStyle w:val="Compact"/>
        <w:numPr>
          <w:ilvl w:val="1"/>
          <w:numId w:val="1003"/>
        </w:numPr>
      </w:pPr>
      <w:hyperlink w:anchor="X7b2bfe4bc6028daafc8c91eec29d0fc2d0c2df0">
        <w:r>
          <w:rPr>
            <w:rStyle w:val="Hyperlink"/>
          </w:rPr>
          <w:t xml:space="preserve">Deployment View</w:t>
        </w:r>
      </w:hyperlink>
    </w:p>
    <w:p>
      <w:pPr>
        <w:pStyle w:val="Compact"/>
        <w:numPr>
          <w:ilvl w:val="1"/>
          <w:numId w:val="1003"/>
        </w:numPr>
      </w:pPr>
      <w:hyperlink w:anchor="X1a03cc66199a15a52c9cc12adacc1f295374d72">
        <w:r>
          <w:rPr>
            <w:rStyle w:val="Hyperlink"/>
          </w:rPr>
          <w:t xml:space="preserve">Data View</w:t>
        </w:r>
      </w:hyperlink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sign-constraints"/>
    <w:p>
      <w:pPr>
        <w:pStyle w:val="Heading1"/>
      </w:pPr>
      <w:r>
        <w:t xml:space="preserve">1. Design Constraints</w:t>
      </w:r>
    </w:p>
    <w:p>
      <w:pPr>
        <w:pStyle w:val="FirstParagraph"/>
      </w:pPr>
      <w:r>
        <w:t xml:space="preserve">The following constraints define the allowed architecture space for SeShop. They are derived from the</w:t>
      </w:r>
      <w:r>
        <w:t xml:space="preserve"> </w:t>
      </w:r>
      <w:hyperlink r:id="rId24">
        <w:r>
          <w:rPr>
            <w:rStyle w:val="Hyperlink"/>
          </w:rPr>
          <w:t xml:space="preserve">BRD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SRS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ASR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API specification</w:t>
        </w:r>
      </w:hyperlink>
      <w:r>
        <w:t xml:space="preserve">, and database schema.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style:</w:t>
      </w:r>
      <w:r>
        <w:t xml:space="preserve"> </w:t>
      </w:r>
      <w:r>
        <w:t xml:space="preserve">The backend is a modular monolith. Domain boundaries are enforced inside one deployable Spring Boot application instead of separate microservices.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technology:</w:t>
      </w:r>
      <w:r>
        <w:t xml:space="preserve"> </w:t>
      </w:r>
      <w:r>
        <w:t xml:space="preserve">Java 21 and Spring Boot 3.3 are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technology:</w:t>
      </w:r>
      <w:r>
        <w:t xml:space="preserve"> </w:t>
      </w:r>
      <w:r>
        <w:t xml:space="preserve">React 18, TypeScript 5, and Vite are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 technology:</w:t>
      </w:r>
      <w:r>
        <w:t xml:space="preserve"> </w:t>
      </w:r>
      <w:r>
        <w:t xml:space="preserve">PostgreSQL 15 is the transactional system of 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Cache technology:</w:t>
      </w:r>
      <w:r>
        <w:t xml:space="preserve"> </w:t>
      </w:r>
      <w:r>
        <w:t xml:space="preserve">Redis may be used for hot catalog and availability reads, but it is not a source of truth.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style:</w:t>
      </w:r>
      <w:r>
        <w:t xml:space="preserve"> </w:t>
      </w:r>
      <w:r>
        <w:t xml:space="preserve">External application communication uses REST/JSON over HTTPS under the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namespace.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Module boundaries:</w:t>
      </w:r>
      <w:r>
        <w:t xml:space="preserve"> </w:t>
      </w:r>
      <w:r>
        <w:t xml:space="preserve">Backend modules are logically separated but may communicate through shared services or repositories within the monolith context. Strict isolation is not enforced.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Stock consistency:</w:t>
      </w:r>
      <w:r>
        <w:t xml:space="preserve"> </w:t>
      </w:r>
      <w:r>
        <w:t xml:space="preserve">Checkout, POS sale, refund, transfer, cycle count, goods receipt, and allocation operations must update stock inside a database transaction.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Availability calculation:</w:t>
      </w:r>
      <w:r>
        <w:t xml:space="preserve"> </w:t>
      </w:r>
      <w:r>
        <w:rPr>
          <w:rStyle w:val="VerbatimChar"/>
        </w:rPr>
        <w:t xml:space="preserve">available_qty</w:t>
      </w:r>
      <w:r>
        <w:t xml:space="preserve"> </w:t>
      </w:r>
      <w:r>
        <w:t xml:space="preserve">is computed as</w:t>
      </w:r>
      <w:r>
        <w:t xml:space="preserve"> </w:t>
      </w:r>
      <w:r>
        <w:rPr>
          <w:rStyle w:val="VerbatimChar"/>
        </w:rPr>
        <w:t xml:space="preserve">on_hand_qty - reserved_qty</w:t>
      </w:r>
      <w:r>
        <w:t xml:space="preserve">; it must not be stored as an independent column.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scope:</w:t>
      </w:r>
      <w:r>
        <w:t xml:space="preserve"> </w:t>
      </w:r>
      <w:r>
        <w:t xml:space="preserve">Version 1 supports Stripe, Cash on Delivery, and in-store POS payment.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Social publishing scope:</w:t>
      </w:r>
      <w:r>
        <w:t xml:space="preserve"> </w:t>
      </w:r>
      <w:r>
        <w:t xml:space="preserve">Instagram support is compose-first. The system prepares and stores drafts but does not auto-publish without manual review.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Auditability:</w:t>
      </w:r>
      <w:r>
        <w:t xml:space="preserve"> </w:t>
      </w:r>
      <w:r>
        <w:t xml:space="preserve">Sensitive staff/admin and stock/money operations must create append-only audit records.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Localization:</w:t>
      </w:r>
      <w:r>
        <w:t xml:space="preserve"> </w:t>
      </w:r>
      <w:r>
        <w:t xml:space="preserve">Customer-facing and back-office interfaces must support Vietnamese and English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Migration management:</w:t>
      </w:r>
      <w:r>
        <w:t xml:space="preserve"> </w:t>
      </w:r>
      <w:r>
        <w:t xml:space="preserve">Database migrations are versioned and reviewed through Flyway-compatible scripts.</w:t>
      </w:r>
    </w:p>
    <w:p>
      <w:r>
        <w:pict>
          <v:rect style="width:0;height:1.5pt" o:hralign="center" o:hrstd="t" o:hr="t"/>
        </w:pict>
      </w:r>
    </w:p>
    <w:bookmarkEnd w:id="28"/>
    <w:bookmarkStart w:id="49" w:name="quality-attribute-requirements"/>
    <w:p>
      <w:pPr>
        <w:pStyle w:val="Heading1"/>
      </w:pPr>
      <w:r>
        <w:t xml:space="preserve">2. Quality Attribute Requirements</w:t>
      </w:r>
    </w:p>
    <w:p>
      <w:pPr>
        <w:pStyle w:val="FirstParagraph"/>
      </w:pPr>
      <w:r>
        <w:t xml:space="preserve">Each quality attribute requirement follows the ADD template format: stimulus, source, environment, artifact, response, and response measure.</w:t>
      </w:r>
    </w:p>
    <w:bookmarkStart w:id="32" w:name="security"/>
    <w:p>
      <w:pPr>
        <w:pStyle w:val="Heading2"/>
      </w:pPr>
      <w:r>
        <w:t xml:space="preserve">2.1 Security</w:t>
      </w:r>
    </w:p>
    <w:bookmarkStart w:id="29" w:name="authentication-and-authorization"/>
    <w:p>
      <w:pPr>
        <w:pStyle w:val="Heading3"/>
      </w:pPr>
      <w:r>
        <w:t xml:space="preserve">2.1.1 Authentication and Authorization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 user signs in or invokes an API endpoint that requires authentication and permission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Customer, Authorized Staff, or Super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web operation through the React SPA or direct API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Spring Security layer, Identity &amp; RBAC module, JWT/session handling, permission catalog.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system authenticates the user, computes effective permissions from assigned active roles, enforces server-side authorization, returns</w:t>
            </w:r>
            <w:r>
              <w:t xml:space="preserve"> </w:t>
            </w:r>
            <w:r>
              <w:rPr>
                <w:rStyle w:val="VerbatimChar"/>
              </w:rPr>
              <w:t xml:space="preserve">403 FORBIDDEN</w:t>
            </w:r>
            <w:r>
              <w:t xml:space="preserve"> </w:t>
            </w:r>
            <w:r>
              <w:t xml:space="preserve">for unauthorized actions, and records suspicious denied attempts.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100% of protected endpoints enforce authorization on the backend; unauthorized requests perform no side effects; permission checks add no more than 200 ms to normal request processing.</w:t>
            </w:r>
          </w:p>
        </w:tc>
      </w:tr>
    </w:tbl>
    <w:bookmarkEnd w:id="29"/>
    <w:bookmarkStart w:id="30" w:name="data-protection"/>
    <w:p>
      <w:pPr>
        <w:pStyle w:val="Heading3"/>
      </w:pPr>
      <w:r>
        <w:t xml:space="preserve">2.1.2 Data Protection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Sensitive data is stored, transmitted, or used by an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Customers, staff users, payment gateway, Instagram OAuth flow, shipping provider, AI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 runtime, backups, logs, and external API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PostgreSQL database, transport layer, external integration adapters, application logs.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Passwords are stored as salted hashes; external tokens and secrets are encrypted at rest; all client and partner communication uses HTTPS/TLS; logs exclude plaintext secrets and payment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Zero plaintext passwords or OAuth/payment secrets in database and logs; 100% external-facing endpoints require TLS; credential scan has no high-severity findings before release.</w:t>
            </w:r>
          </w:p>
        </w:tc>
      </w:tr>
    </w:tbl>
    <w:bookmarkEnd w:id="30"/>
    <w:bookmarkStart w:id="31" w:name="auditability"/>
    <w:p>
      <w:pPr>
        <w:pStyle w:val="Heading3"/>
      </w:pPr>
      <w:r>
        <w:t xml:space="preserve">2.1.3 Auditability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 sensitive operation changes access rights, stock, money, orders, refunds, POS shifts, invoices, Instagram connections, or audit-relevant configuration.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Super Admin, Authorized Staff, or automated background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business operation and compliance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Audit subsystem and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system creates an append-only audit record containing actor, action, target, timestamp, trace metadata, and before/after values when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100% coverage of sensitive operations; no application endpoint exposes audit UPDATE or DELETE behavior; audit records are searchable by actor, action, target, and date range.</w:t>
            </w:r>
          </w:p>
        </w:tc>
      </w:tr>
    </w:tbl>
    <w:bookmarkEnd w:id="31"/>
    <w:bookmarkEnd w:id="32"/>
    <w:bookmarkStart w:id="36" w:name="performance"/>
    <w:p>
      <w:pPr>
        <w:pStyle w:val="Heading2"/>
      </w:pPr>
      <w:r>
        <w:t xml:space="preserve">2.2 Performance</w:t>
      </w:r>
    </w:p>
    <w:bookmarkStart w:id="33" w:name="product-search-and-browsing"/>
    <w:p>
      <w:pPr>
        <w:pStyle w:val="Heading3"/>
      </w:pPr>
      <w:r>
        <w:t xml:space="preserve">2.2.1 Product Search and Browsing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 customer searches, filters, sorts, or paginates the product catalog by category, size, color, price, or availability.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daily load with concurrent browsing traffic.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Catalog module, PostgreSQL indexes, optional Redis read-through cache, React storefront.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system returns a paginated product list with variant and availability information using indexed queries and cached hot reads where appropriate.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95th percentile response time is less than or equal to 2 seconds for normal product search and browse requests.</w:t>
            </w:r>
          </w:p>
        </w:tc>
      </w:tr>
    </w:tbl>
    <w:bookmarkEnd w:id="33"/>
    <w:bookmarkStart w:id="34" w:name="inventory-mutation-latency"/>
    <w:p>
      <w:pPr>
        <w:pStyle w:val="Heading3"/>
      </w:pPr>
      <w:r>
        <w:t xml:space="preserve">2.2.2 Inventory Mutation Latency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Staff submits an inventory adjustment, transfer confirmation, POS stock decrement, checkout reservation, refund restock, cycle count posting, or goods receipt.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Authorized Staff, Super Admin, Customer checkout, or background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operations with concurrent stock-affecting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Inventory module, Commerce module, POS module, PostgreSQL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system validates the command, locks affected rows when required, commits the stock mutation atomically, and writes audit/domain-event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Standard stock mutation commit latency is less than or equal to 500 ms; no stock mutation leaves partial state after failure.</w:t>
            </w:r>
          </w:p>
        </w:tc>
      </w:tr>
    </w:tbl>
    <w:bookmarkEnd w:id="34"/>
    <w:bookmarkStart w:id="35" w:name="scalability-for-locations-and-skus"/>
    <w:p>
      <w:pPr>
        <w:pStyle w:val="Heading3"/>
      </w:pPr>
      <w:r>
        <w:t xml:space="preserve">2.2.3 Scalability for Locations and SKUs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Business operations add new store/storage locations, product variants, or catalog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Authorized Staff or Super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production operation without planned downtime.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Catalog, Inventory, and PostgreSQL schema.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New locations, SKUs, and category mappings are added as data records rather than schema changes. List endpoints remain paginated and indexed.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Adding a location or SKU requires zero schema migrations; QAS product search and inventory latency targets remain satisfied after growth within expected v1 scale.</w:t>
            </w:r>
          </w:p>
        </w:tc>
      </w:tr>
    </w:tbl>
    <w:bookmarkEnd w:id="35"/>
    <w:bookmarkEnd w:id="36"/>
    <w:bookmarkStart w:id="39" w:name="usability"/>
    <w:p>
      <w:pPr>
        <w:pStyle w:val="Heading2"/>
      </w:pPr>
      <w:r>
        <w:t xml:space="preserve">2.3 Usability</w:t>
      </w:r>
    </w:p>
    <w:bookmarkStart w:id="37" w:name="staff-operational-workflow"/>
    <w:p>
      <w:pPr>
        <w:pStyle w:val="Heading3"/>
      </w:pPr>
      <w:r>
        <w:t xml:space="preserve">2.3.1 Staff Operational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Trained staff perform routine POS, inventory, order fulfillment, refund, or social draft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Authorized Staff.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Store or back-office workday with repeated task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Staff-facing React screens, API validation, workflow state models.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UI presents dense but scannable operational forms, immediate validation feedback, keyboard-friendly POS paths, and clear status transitions.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A trained cashier can complete a 3-item POS sale in less than or equal to 60 seconds; common validation errors appear within 500 ms of field blur or submit.</w:t>
            </w:r>
          </w:p>
        </w:tc>
      </w:tr>
    </w:tbl>
    <w:bookmarkEnd w:id="37"/>
    <w:bookmarkStart w:id="38" w:name="customer-checkout-experience"/>
    <w:p>
      <w:pPr>
        <w:pStyle w:val="Heading3"/>
      </w:pPr>
      <w:r>
        <w:t xml:space="preserve">2.3.2 Customer Checkout Experience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 customer proceeds from cart to order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Customer.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web use on desktop or mobile.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Customer checkout UI, Commerce module, Payment adapter, Inventory reservation logic.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system guides the customer through shipping, discount, payment, and confirmation steps with no page reloads, clear error messages, and accurate stock/payment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Checkout requires no more than 5 major steps; validation feedback appears within 500 ms; failed payment or insufficient stock produces no paid order.</w:t>
            </w:r>
          </w:p>
        </w:tc>
      </w:tr>
    </w:tbl>
    <w:bookmarkEnd w:id="38"/>
    <w:bookmarkEnd w:id="39"/>
    <w:bookmarkStart w:id="42" w:name="interoperability"/>
    <w:p>
      <w:pPr>
        <w:pStyle w:val="Heading2"/>
      </w:pPr>
      <w:r>
        <w:t xml:space="preserve">2.4 Interoperability</w:t>
      </w:r>
    </w:p>
    <w:bookmarkStart w:id="40" w:name="third-party-system-integration"/>
    <w:p>
      <w:pPr>
        <w:pStyle w:val="Heading3"/>
      </w:pPr>
      <w:r>
        <w:t xml:space="preserve">2.4.1 Third-Party System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The platform sends requests to or receives callbacks from Stripe, shipping providers, Instagram, object storage, or an AI recommendation 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External service, customer checkout, staff workflow, or background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Normal operation and degraded partner availability.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Infrastructure adapters, API clients, webhook/callback handlers.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Integration calls use HTTPS, provider-specific authentication, bounded retries, timeouts, idempotency for money/stock effects, and clear error mapping into the API error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External failure creates zero internal data corruption; users receive an actionable error within 5 seconds of timeout; provider swap changes are localized to adapter implementations.</w:t>
            </w:r>
          </w:p>
        </w:tc>
      </w:tr>
    </w:tbl>
    <w:bookmarkEnd w:id="40"/>
    <w:bookmarkStart w:id="41" w:name="internal-module-communication"/>
    <w:p>
      <w:pPr>
        <w:pStyle w:val="Heading3"/>
      </w:pPr>
      <w:r>
        <w:t xml:space="preserve">2.4.2 Internal Module 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One domain module requires data or side effects from another module, such as Commerce reserving stock or POS writing audit records.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Backend application services and domain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Runtime inside the modular monolith.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Application service interfaces, domain events, outbox/event dispatch mechanism.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Synchronous in-process calls are used for command-critical results; asynchronous events are used for notifications, audit side effects, and eventual read updates. Modules do not bypass ownership by querying foreign tables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Cross-module business rule changes are limited to published interfaces/events; command-critical calls complete inside the request transaction when consistency is required.</w:t>
            </w:r>
          </w:p>
        </w:tc>
      </w:tr>
    </w:tbl>
    <w:bookmarkEnd w:id="41"/>
    <w:bookmarkEnd w:id="42"/>
    <w:bookmarkStart w:id="45" w:name="modifiability"/>
    <w:p>
      <w:pPr>
        <w:pStyle w:val="Heading2"/>
      </w:pPr>
      <w:r>
        <w:t xml:space="preserve">2.5 Modifiability</w:t>
      </w:r>
    </w:p>
    <w:bookmarkStart w:id="43" w:name="business-requirement-changes"/>
    <w:p>
      <w:pPr>
        <w:pStyle w:val="Heading3"/>
      </w:pPr>
      <w:r>
        <w:t xml:space="preserve">2.5.1 Business Requirement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Product or operations stakeholders request a change to a business rule, such as discount policy, refund eligibility, stock allocation, or transfer approval.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Business stakeholders and development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 and maintenance.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Backend domain modules, application services, React feature modules, API contract.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The modular monolith confines the change to the relevant bounded context and its tests. Shared contracts are updated only when cross-module behavior must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A single business rule change affects one primary backend module in the normal case; regression tests cover the changed module before release.</w:t>
            </w:r>
          </w:p>
        </w:tc>
      </w:tr>
    </w:tbl>
    <w:bookmarkEnd w:id="43"/>
    <w:bookmarkStart w:id="44" w:name="X82f426285bcf23e78d3465cde462ef8564c7baa"/>
    <w:p>
      <w:pPr>
        <w:pStyle w:val="Heading3"/>
      </w:pPr>
      <w:r>
        <w:t xml:space="preserve">2.5.2 External Integration Replacement and Testability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The team replaces a payment, shipping, Instagram, object storage, or AI provider, or needs to test domain behavior without real infrastructure.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Business decision, vendor outage, QA/development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Development, CI, or production evolution.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Ports and adapters, infrastructure clients, domain services, repository interfaces.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Provider-specific logic is isolated behind adapter interfaces. Domain services depend on ports and can be tested with in-memory or mock implementations.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Provider replacement requires zero domain-layer changes; domain/application test suites run without network access and without a shared test database.</w:t>
            </w:r>
          </w:p>
        </w:tc>
      </w:tr>
    </w:tbl>
    <w:bookmarkEnd w:id="44"/>
    <w:bookmarkEnd w:id="45"/>
    <w:bookmarkStart w:id="48" w:name="availability"/>
    <w:p>
      <w:pPr>
        <w:pStyle w:val="Heading2"/>
      </w:pPr>
      <w:r>
        <w:t xml:space="preserve">2.6 Availability</w:t>
      </w:r>
    </w:p>
    <w:bookmarkStart w:id="46" w:name="fault-tolerance-and-system-recovery"/>
    <w:p>
      <w:pPr>
        <w:pStyle w:val="Heading3"/>
      </w:pPr>
      <w:r>
        <w:t xml:space="preserve">2.6.1 Fault Tolerance and System Recovery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An application instance, cache, external API, or non-primary component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Infrastructure fault, software defect, network issue, or partner outage.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Spring Boot API, PostgreSQL, Redis, object storage, external adapters, health probes, backups.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Critical data remains in PostgreSQL; stateless API instances can be restarted or scaled; degraded integrations fail gracefully; health checks expose service status; backups support recovery.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Core commerce target is 99.9% monthly availability; recovery procedures keep data loss within approved backup policy; Redis failure does not lose committed business state.</w:t>
            </w:r>
          </w:p>
        </w:tc>
      </w:tr>
    </w:tbl>
    <w:bookmarkEnd w:id="46"/>
    <w:bookmarkStart w:id="47" w:name="Xa28a98f35094f67429172853cd84fe7d6902408"/>
    <w:p>
      <w:pPr>
        <w:pStyle w:val="Heading3"/>
      </w:pPr>
      <w:r>
        <w:t xml:space="preserve">2.6.2 Automated Payment, Shipping, and Reservation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The system receives payment/shipping callbacks or detects expired reservations and failed external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 source</w:t>
            </w:r>
          </w:p>
        </w:tc>
        <w:tc>
          <w:tcPr/>
          <w:p>
            <w:pPr>
              <w:pStyle w:val="Compact"/>
            </w:pPr>
            <w:r>
              <w:t xml:space="preserve">Stripe, shipping provider, scheduled reservation cleanup, customer retry.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After checkout, refund, fulfillment, or retryable failure.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Commerce module, Payment adapter, Shipment workflow, Inventory reservation records, background workers.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Callback handlers validate authenticity and idempotency, update payment/shipment/order status, release expired reservations, and notify users or staff when action is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measure</w:t>
            </w:r>
          </w:p>
        </w:tc>
        <w:tc>
          <w:tcPr/>
          <w:p>
            <w:pPr>
              <w:pStyle w:val="Compact"/>
            </w:pPr>
            <w:r>
              <w:t xml:space="preserve">Duplicate callbacks do not duplicate payments or shipments; expired reservations are released by scheduled cleanup; failed external operations leave no orphaned paid or allocated order state.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0" w:name="architectural-representation"/>
    <w:p>
      <w:pPr>
        <w:pStyle w:val="Heading1"/>
      </w:pPr>
      <w:r>
        <w:t xml:space="preserve">3. Architectural Representation</w:t>
      </w:r>
    </w:p>
    <w:p>
      <w:pPr>
        <w:pStyle w:val="FirstParagraph"/>
      </w:pPr>
      <w:r>
        <w:t xml:space="preserve">The SeShop architecture is represented through four complementary views: logical, implementation, deployment, and data. The detailed SAD expands these views using the Views-and-Beyond documentation style.</w:t>
      </w:r>
    </w:p>
    <w:bookmarkStart w:id="53" w:name="logical-view"/>
    <w:p>
      <w:pPr>
        <w:pStyle w:val="Heading2"/>
      </w:pPr>
      <w:r>
        <w:t xml:space="preserve">3.1 Logical View</w:t>
      </w:r>
    </w:p>
    <w:p>
      <w:pPr>
        <w:pStyle w:val="FirstParagraph"/>
      </w:pPr>
      <w:r>
        <w:t xml:space="preserve">The logical view decomposes SeShop into business-aligned bounded contexts. Each context owns its rules, tables, and public application interfaces.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RBAC</w:t>
            </w:r>
          </w:p>
        </w:tc>
        <w:tc>
          <w:tcPr/>
          <w:p>
            <w:pPr>
              <w:pStyle w:val="Compact"/>
            </w:pPr>
            <w:r>
              <w:t xml:space="preserve">Authentication, users, roles, permissions, effective access, audit identity.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Products, variants/SKUs, categories, product images, catalog publishing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Locations, balances, transfers, cycle counts, procurement receiving, stock reservations.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t xml:space="preserve">Cart, online orders, payments, discounts, shipment orchestration, checkout lifecycle.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&amp; Returns</w:t>
            </w:r>
          </w:p>
        </w:tc>
        <w:tc>
          <w:tcPr/>
          <w:p>
            <w:pPr>
              <w:pStyle w:val="Compact"/>
            </w:pPr>
            <w:r>
              <w:t xml:space="preserve">POS shifts, receipts, cash reconciliation, refunds, exchanges, invoices, adjustment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Social</w:t>
            </w:r>
          </w:p>
        </w:tc>
        <w:tc>
          <w:tcPr/>
          <w:p>
            <w:pPr>
              <w:pStyle w:val="Compact"/>
            </w:pPr>
            <w:r>
              <w:t xml:space="preserve">Instagram connection lifecycle, compose-ready draft generation, review/publish handoff.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Engagement</w:t>
            </w:r>
          </w:p>
        </w:tc>
        <w:tc>
          <w:tcPr/>
          <w:p>
            <w:pPr>
              <w:pStyle w:val="Compact"/>
            </w:pPr>
            <w:r>
              <w:t xml:space="preserve">Reviews and AI recommendation interactions.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Platform Services</w:t>
            </w:r>
          </w:p>
        </w:tc>
        <w:tc>
          <w:tcPr/>
          <w:p>
            <w:pPr>
              <w:pStyle w:val="Compact"/>
            </w:pPr>
            <w:r>
              <w:t xml:space="preserve">Audit dispatch, notifications, file storage, exception handling, configuration, utilities.</w:t>
            </w:r>
          </w:p>
        </w:tc>
      </w:tr>
    </w:tbl>
    <w:p>
      <w:pPr>
        <w:pStyle w:val="CaptionedFigure"/>
      </w:pPr>
      <w:r>
        <w:drawing>
          <wp:inline>
            <wp:extent cx="5334000" cy="4067768"/>
            <wp:effectExtent b="0" l="0" r="0" t="0"/>
            <wp:docPr descr="PlantUML Diagram" title="" id="51" name="Picture"/>
            <a:graphic>
              <a:graphicData uri="http://schemas.openxmlformats.org/drawingml/2006/picture">
                <pic:pic>
                  <pic:nvPicPr>
                    <pic:cNvPr descr="temp_plantuml_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7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bookmarkEnd w:id="53"/>
    <w:bookmarkStart w:id="54" w:name="implementation-view"/>
    <w:p>
      <w:pPr>
        <w:pStyle w:val="Heading2"/>
      </w:pPr>
      <w:r>
        <w:t xml:space="preserve">3.2 Implementation View</w:t>
      </w:r>
    </w:p>
    <w:p>
      <w:pPr>
        <w:pStyle w:val="FirstParagraph"/>
      </w:pPr>
      <w:r>
        <w:t xml:space="preserve">The implementation view maps logical modules to code organization. Each backend module follows a layered architecture (Controller, Service, Repository) to organize domain logic, web interactions, and database access.</w:t>
      </w:r>
    </w:p>
    <w:p>
      <w:pPr>
        <w:pStyle w:val="SourceCode"/>
      </w:pPr>
      <w:r>
        <w:rPr>
          <w:rStyle w:val="VerbatimChar"/>
        </w:rPr>
        <w:t xml:space="preserve">com.seshop</w:t>
      </w:r>
      <w:r>
        <w:br/>
      </w:r>
      <w:r>
        <w:rPr>
          <w:rStyle w:val="VerbatimChar"/>
        </w:rPr>
        <w:t xml:space="preserve">├── identity/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├── application/</w:t>
      </w:r>
      <w:r>
        <w:br/>
      </w:r>
      <w:r>
        <w:rPr>
          <w:rStyle w:val="VerbatimChar"/>
        </w:rPr>
        <w:t xml:space="preserve">│   ├── domain/</w:t>
      </w:r>
      <w:r>
        <w:br/>
      </w:r>
      <w:r>
        <w:rPr>
          <w:rStyle w:val="VerbatimChar"/>
        </w:rPr>
        <w:t xml:space="preserve">│   └── infrastructure/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inventory/</w:t>
      </w:r>
      <w:r>
        <w:br/>
      </w:r>
      <w:r>
        <w:rPr>
          <w:rStyle w:val="VerbatimChar"/>
        </w:rPr>
        <w:t xml:space="preserve">├── commerce/</w:t>
      </w:r>
      <w:r>
        <w:br/>
      </w:r>
      <w:r>
        <w:rPr>
          <w:rStyle w:val="VerbatimChar"/>
        </w:rPr>
        <w:t xml:space="preserve">├── pos/</w:t>
      </w:r>
      <w:r>
        <w:br/>
      </w:r>
      <w:r>
        <w:rPr>
          <w:rStyle w:val="VerbatimChar"/>
        </w:rPr>
        <w:t xml:space="preserve">├── marketing/</w:t>
      </w:r>
      <w:r>
        <w:br/>
      </w:r>
      <w:r>
        <w:rPr>
          <w:rStyle w:val="VerbatimChar"/>
        </w:rPr>
        <w:t xml:space="preserve">├── engagement/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security/</w:t>
      </w:r>
      <w:r>
        <w:br/>
      </w:r>
      <w:r>
        <w:rPr>
          <w:rStyle w:val="VerbatimChar"/>
        </w:rPr>
        <w:t xml:space="preserve">    ├── audit/</w:t>
      </w:r>
      <w:r>
        <w:br/>
      </w:r>
      <w:r>
        <w:rPr>
          <w:rStyle w:val="VerbatimChar"/>
        </w:rPr>
        <w:t xml:space="preserve">    ├── exception/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└── util/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Dependency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Controllers, DTOs, request validation, HTTP mapping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application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Use cases, transactions, commands, queries, orchestration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ports and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Entities, value objects, domain services, policies, port interfaces</w:t>
            </w:r>
          </w:p>
        </w:tc>
        <w:tc>
          <w:tcPr/>
          <w:p>
            <w:pPr>
              <w:pStyle w:val="Compact"/>
            </w:pPr>
            <w:r>
              <w:t xml:space="preserve">No dependency on framework or persistence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JPA repositories, external clients, cache adapters, storage adapters</w:t>
            </w:r>
          </w:p>
        </w:tc>
        <w:tc>
          <w:tcPr/>
          <w:p>
            <w:pPr>
              <w:pStyle w:val="Compact"/>
            </w:pPr>
            <w:r>
              <w:t xml:space="preserve">Implements interfaces defined by</w:t>
            </w:r>
            <w:r>
              <w:t xml:space="preserve"> </w:t>
            </w:r>
            <w:r>
              <w:rPr>
                <w:rStyle w:val="VerbatimChar"/>
              </w:rPr>
              <w:t xml:space="preserve">domain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application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direction:</w:t>
      </w:r>
      <w:r>
        <w:t xml:space="preserve"> </w:t>
      </w:r>
      <w:r>
        <w:rPr>
          <w:rStyle w:val="VerbatimChar"/>
        </w:rPr>
        <w:t xml:space="preserve">api -&gt; application -&gt; domain &lt;- infrastructure</w:t>
      </w:r>
    </w:p>
    <w:bookmarkEnd w:id="54"/>
    <w:bookmarkStart w:id="58" w:name="deployment-view"/>
    <w:p>
      <w:pPr>
        <w:pStyle w:val="Heading2"/>
      </w:pPr>
      <w:r>
        <w:t xml:space="preserve">3.3 Deployment View</w:t>
      </w:r>
    </w:p>
    <w:p>
      <w:pPr>
        <w:pStyle w:val="FirstParagraph"/>
      </w:pPr>
      <w:r>
        <w:t xml:space="preserve">SeShop deploys as a React SPA plus one or more stateless Spring Boot API instances backed by PostgreSQL, Redis, object storage, and approved external providers.</w:t>
      </w:r>
    </w:p>
    <w:p>
      <w:pPr>
        <w:pStyle w:val="CaptionedFigure"/>
      </w:pPr>
      <w:r>
        <w:drawing>
          <wp:inline>
            <wp:extent cx="5334000" cy="1456057"/>
            <wp:effectExtent b="0" l="0" r="0" t="0"/>
            <wp:docPr descr="PlantUML Diagram" title="" id="56" name="Picture"/>
            <a:graphic>
              <a:graphicData uri="http://schemas.openxmlformats.org/drawingml/2006/picture">
                <pic:pic>
                  <pic:nvPicPr>
                    <pic:cNvPr descr="temp_plantuml_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6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PlantUML 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 implementation and feature testing</w:t>
            </w:r>
          </w:p>
        </w:tc>
        <w:tc>
          <w:tcPr/>
          <w:p>
            <w:pPr>
              <w:pStyle w:val="Compact"/>
            </w:pPr>
            <w:r>
              <w:t xml:space="preserve">Docker Compose may provide PostgreSQL and Redis.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Staging/UAT</w:t>
            </w:r>
          </w:p>
        </w:tc>
        <w:tc>
          <w:tcPr/>
          <w:p>
            <w:pPr>
              <w:pStyle w:val="Compact"/>
            </w:pPr>
            <w:r>
              <w:t xml:space="preserve">Acceptance validation before release</w:t>
            </w:r>
          </w:p>
        </w:tc>
        <w:tc>
          <w:tcPr/>
          <w:p>
            <w:pPr>
              <w:pStyle w:val="Compact"/>
            </w:pPr>
            <w:r>
              <w:t xml:space="preserve">Same architecture shape as production with controlled test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customer and staff operation</w:t>
            </w:r>
          </w:p>
        </w:tc>
        <w:tc>
          <w:tcPr/>
          <w:p>
            <w:pPr>
              <w:pStyle w:val="Compact"/>
            </w:pPr>
            <w:r>
              <w:t xml:space="preserve">Managed database/cache/storage, monitored API instances, reviewed migrations.</w:t>
            </w:r>
          </w:p>
        </w:tc>
      </w:tr>
    </w:tbl>
    <w:bookmarkEnd w:id="58"/>
    <w:bookmarkStart w:id="59" w:name="data-view"/>
    <w:p>
      <w:pPr>
        <w:pStyle w:val="Heading2"/>
      </w:pPr>
      <w:r>
        <w:t xml:space="preserve">3.4 Data View</w:t>
      </w:r>
    </w:p>
    <w:p>
      <w:pPr>
        <w:pStyle w:val="FirstParagraph"/>
      </w:pPr>
      <w:r>
        <w:t xml:space="preserve">The data view is organized around table ownership. PostgreSQL is the source of truth, and each module owns a defined subset of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Owned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role_permissions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product_variants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product_images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inventory_balances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inventory_transfers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inventory_transfer_items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cycle_counts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cycle_count_items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purchase_order_items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goods_receipts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goods_receipt_items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order_allocations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discount_codes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discount_redemptions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&amp; Returns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pos_shifts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pos_receipts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pos_receipt_items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cash_reconciliations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invoice_adjustment_notes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instagram_connections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instagram_drafts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Engagement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</w:p>
        </w:tc>
      </w:tr>
    </w:tbl>
    <w:p>
      <w:pPr>
        <w:pStyle w:val="BodyText"/>
      </w:pPr>
      <w:r>
        <w:t xml:space="preserve">Data rules:</w:t>
      </w:r>
    </w:p>
    <w:p>
      <w:pPr>
        <w:pStyle w:val="Compact"/>
        <w:numPr>
          <w:ilvl w:val="0"/>
          <w:numId w:val="1005"/>
        </w:numPr>
      </w:pPr>
      <w:r>
        <w:t xml:space="preserve">Tables have one owning module.</w:t>
      </w:r>
    </w:p>
    <w:p>
      <w:pPr>
        <w:pStyle w:val="Compact"/>
        <w:numPr>
          <w:ilvl w:val="0"/>
          <w:numId w:val="1005"/>
        </w:numPr>
      </w:pPr>
      <w:r>
        <w:t xml:space="preserve">Cross-module reads and writes go through application services, not direct table access.</w:t>
      </w:r>
    </w:p>
    <w:p>
      <w:pPr>
        <w:pStyle w:val="Compact"/>
        <w:numPr>
          <w:ilvl w:val="0"/>
          <w:numId w:val="1005"/>
        </w:numPr>
      </w:pPr>
      <w:r>
        <w:t xml:space="preserve">Stock-affecting commands use transaction boundaries and row locks where required.</w:t>
      </w:r>
    </w:p>
    <w:p>
      <w:pPr>
        <w:pStyle w:val="Compact"/>
        <w:numPr>
          <w:ilvl w:val="0"/>
          <w:numId w:val="1005"/>
        </w:numPr>
      </w:pPr>
      <w:r>
        <w:t xml:space="preserve">Business identifiers such as</w:t>
      </w:r>
      <w:r>
        <w:t xml:space="preserve"> </w:t>
      </w:r>
      <w:r>
        <w:rPr>
          <w:rStyle w:val="VerbatimChar"/>
        </w:rPr>
        <w:t xml:space="preserve">orderNumber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skuCode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poNumber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invoiceNumber</w:t>
      </w:r>
      <w:r>
        <w:t xml:space="preserve"> </w:t>
      </w:r>
      <w:r>
        <w:t xml:space="preserve">are exposed for user-facing workflows while numeric IDs remain internal identifiers.</w:t>
      </w:r>
    </w:p>
    <w:p>
      <w:pPr>
        <w:pStyle w:val="Compact"/>
        <w:numPr>
          <w:ilvl w:val="0"/>
          <w:numId w:val="1005"/>
        </w:numPr>
      </w:pPr>
      <w:r>
        <w:t xml:space="preserve">Media files are stored in object storage; PostgreSQL stores metadata and URLs.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hyperlink" Id="rId20" Target="../../Template/ADD.docx" TargetMode="External" /><Relationship Type="http://schemas.openxmlformats.org/officeDocument/2006/relationships/hyperlink" Id="rId24" Target="../1.BRD/SESHOP%20BRD.md" TargetMode="External" /><Relationship Type="http://schemas.openxmlformats.org/officeDocument/2006/relationships/hyperlink" Id="rId25" Target="../10.SRS/SESHOP%20SRS.md" TargetMode="External" /><Relationship Type="http://schemas.openxmlformats.org/officeDocument/2006/relationships/hyperlink" Id="rId27" Target="SESHOP%20API%20Spec.md" TargetMode="External" /><Relationship Type="http://schemas.openxmlformats.org/officeDocument/2006/relationships/hyperlink" Id="rId26" Target="SESHOP%20AS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Template/ADD.docx" TargetMode="External" /><Relationship Type="http://schemas.openxmlformats.org/officeDocument/2006/relationships/hyperlink" Id="rId24" Target="../1.BRD/SESHOP%20BRD.md" TargetMode="External" /><Relationship Type="http://schemas.openxmlformats.org/officeDocument/2006/relationships/hyperlink" Id="rId25" Target="../10.SRS/SESHOP%20SRS.md" TargetMode="External" /><Relationship Type="http://schemas.openxmlformats.org/officeDocument/2006/relationships/hyperlink" Id="rId27" Target="SESHOP%20API%20Spec.md" TargetMode="External" /><Relationship Type="http://schemas.openxmlformats.org/officeDocument/2006/relationships/hyperlink" Id="rId26" Target="SESHOP%20AS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2026-05-22T13:17:13Z</dcterms:created>
  <dcterms:modified xsi:type="dcterms:W3CDTF">2026-05-22T13:17:13Z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