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seshop-database-diagram"/>
    <w:p>
      <w:pPr>
        <w:pStyle w:val="Heading1"/>
      </w:pPr>
      <w:r>
        <w:t xml:space="preserve">SESHOP Database Diagram</w:t>
      </w:r>
    </w:p>
    <w:p>
      <w:pPr>
        <w:pStyle w:val="FirstParagraph"/>
      </w:pPr>
      <w:r>
        <w:t xml:space="preserve">The following ER diagram is aligned with: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docs/1.BRD/SESHOP BRD.md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docs/10.SRS/SESHOP SRS.md</w:t>
      </w:r>
    </w:p>
    <w:p>
      <w:pPr>
        <w:pStyle w:val="FirstParagraph"/>
      </w:pPr>
      <w:r>
        <w:t xml:space="preserve">It includes core omnichannel modules: RBAC, catalog, inventory, inbound receiving, order allocation, POS controls, reverse logistics, and invoicing.</w:t>
      </w:r>
    </w:p>
    <w:p>
      <w:pPr>
        <w:pStyle w:val="CaptionedFigure"/>
      </w:pPr>
      <w:r>
        <w:drawing>
          <wp:inline>
            <wp:extent cx="5334000" cy="1896950"/>
            <wp:effectExtent b="0" l="0" r="0" t="0"/>
            <wp:docPr descr="PlantUML Diagram" title="" id="21" name="Picture"/>
            <a:graphic>
              <a:graphicData uri="http://schemas.openxmlformats.org/drawingml/2006/picture">
                <pic:pic>
                  <pic:nvPicPr>
                    <pic:cNvPr descr="temp_plantuml_0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969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PlantUML Diagram</w:t>
      </w:r>
    </w:p>
    <w:bookmarkEnd w:id="2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2026-05-22T13:16:59Z</dcterms:created>
  <dcterms:modified xsi:type="dcterms:W3CDTF">2026-05-22T13:16:59Z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