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4"/>
          <w:szCs w:val="34"/>
        </w:rPr>
        <w:t xml:space="preserve">GERICHTSFeste SAMMELMAPPE</w:t>
      </w:r>
    </w:p>
    <w:p>
      <w:pPr>
        <w:spacing w:after="40"/>
        <w:jc w:val="center"/>
      </w:pPr>
      <w:r>
        <w:rPr>
          <w:rFonts w:ascii="Arial" w:cs="Arial" w:eastAsia="Arial" w:hAnsi="Arial"/>
          <w:color w:val="2E75B6"/>
          <w:sz w:val="18"/>
          <w:szCs w:val="18"/>
        </w:rPr>
        <w:t xml:space="preserve">Verteidigung • Widerklage • Kürzungsrechte • Belegeinsicht • Anlagen</w:t>
      </w:r>
    </w:p>
    <w:p>
      <w:pPr>
        <w:spacing w:after="120"/>
        <w:jc w:val="center"/>
      </w:pPr>
      <w:r>
        <w:rPr>
          <w:rFonts w:ascii="Arial" w:cs="Arial" w:eastAsia="Arial" w:hAnsi="Arial"/>
          <w:sz w:val="18"/>
          <w:szCs w:val="18"/>
        </w:rPr>
        <w:t xml:space="preserve">Betriebskosten- und Heizkostenabrechnungen 2009–2024</w:t>
      </w:r>
    </w:p>
    <w:p>
      <w:pPr>
        <w:spacing w:after="30"/>
      </w:pPr>
      <w:r>
        <w:rPr>
          <w:b/>
          <w:bCs/>
          <w:sz w:val="17"/>
          <w:szCs w:val="17"/>
        </w:rPr>
        <w:t xml:space="preserve">Mieter / Beklagter: </w:t>
      </w:r>
      <w:r>
        <w:rPr>
          <w:sz w:val="17"/>
          <w:szCs w:val="17"/>
        </w:rPr>
        <w:t xml:space="preserve">Andreas Rainer Schade, Gubener Straße 53a, 10243 Berlin</w:t>
      </w:r>
    </w:p>
    <w:p>
      <w:pPr>
        <w:spacing w:after="30"/>
      </w:pPr>
      <w:r>
        <w:rPr>
          <w:b/>
          <w:bCs/>
          <w:sz w:val="17"/>
          <w:szCs w:val="17"/>
        </w:rPr>
        <w:t xml:space="preserve">Vermieterin / Klägerin: </w:t>
      </w:r>
      <w:r>
        <w:rPr>
          <w:sz w:val="17"/>
          <w:szCs w:val="17"/>
        </w:rPr>
        <w:t xml:space="preserve">White Tulip S.à r.l. c/o Residea Immobilien Management</w:t>
      </w:r>
    </w:p>
    <w:p>
      <w:pPr>
        <w:spacing w:after="30"/>
      </w:pPr>
      <w:r>
        <w:rPr>
          <w:b/>
          <w:bCs/>
          <w:sz w:val="17"/>
          <w:szCs w:val="17"/>
        </w:rPr>
        <w:t xml:space="preserve">Verfahren: </w:t>
      </w:r>
      <w:r>
        <w:rPr>
          <w:sz w:val="17"/>
          <w:szCs w:val="17"/>
        </w:rPr>
        <w:t xml:space="preserve">Amtsgericht Berlin-Kreuzberg – Räumungs- und Zahlungsklage</w:t>
      </w:r>
    </w:p>
    <w:p>
      <w:pPr>
        <w:spacing w:after="200"/>
      </w:pPr>
      <w:r>
        <w:rPr>
          <w:b/>
          <w:bCs/>
          <w:sz w:val="17"/>
          <w:szCs w:val="17"/>
        </w:rPr>
        <w:t xml:space="preserve">Stand: </w:t>
      </w:r>
      <w:r>
        <w:rPr>
          <w:sz w:val="17"/>
          <w:szCs w:val="17"/>
        </w:rPr>
        <w:t xml:space="preserve">September 2026 (inkl. aktueller Rechtslage zu § 6a HeizkostenV)</w:t>
      </w:r>
    </w:p>
    <w:p>
      <w:pPr>
        <w:pStyle w:val="Heading1"/>
      </w:pPr>
      <w:r>
        <w:t xml:space="preserve">Inhaltsübersicht</w:t>
      </w:r>
    </w:p>
    <w:p>
      <w:pPr>
        <w:pStyle w:val="ListParagraph"/>
        <w:numPr>
          <w:ilvl w:val="0"/>
          <w:numId w:val="2"/>
        </w:numPr>
      </w:pPr>
      <w:r>
        <w:t xml:space="preserve">Anlagenliste</w:t>
      </w:r>
    </w:p>
    <w:p>
      <w:pPr>
        <w:pStyle w:val="ListParagraph"/>
        <w:numPr>
          <w:ilvl w:val="0"/>
          <w:numId w:val="2"/>
        </w:numPr>
      </w:pPr>
      <w:r>
        <w:t xml:space="preserve">Tabelle aller Nebenkostenposten</w:t>
      </w:r>
    </w:p>
    <w:p>
      <w:pPr>
        <w:pStyle w:val="ListParagraph"/>
        <w:numPr>
          <w:ilvl w:val="0"/>
          <w:numId w:val="2"/>
        </w:numPr>
      </w:pPr>
      <w:r>
        <w:t xml:space="preserve">Einzelausstellungen der wesentlichen Jahre</w:t>
      </w:r>
    </w:p>
    <w:p>
      <w:pPr>
        <w:pStyle w:val="ListParagraph"/>
        <w:numPr>
          <w:ilvl w:val="0"/>
          <w:numId w:val="2"/>
        </w:numPr>
      </w:pPr>
      <w:r>
        <w:t xml:space="preserve">Berechnungshilfe Kürzungen</w:t>
      </w:r>
    </w:p>
    <w:p>
      <w:pPr>
        <w:pStyle w:val="ListParagraph"/>
        <w:numPr>
          <w:ilvl w:val="0"/>
          <w:numId w:val="2"/>
        </w:numPr>
      </w:pPr>
      <w:r>
        <w:t xml:space="preserve">Rechtslage § 6a HeizkostenV und BGH-Rechtsprechung</w:t>
      </w:r>
    </w:p>
    <w:p>
      <w:pPr>
        <w:pStyle w:val="ListParagraph"/>
        <w:numPr>
          <w:ilvl w:val="0"/>
          <w:numId w:val="2"/>
        </w:numPr>
      </w:pPr>
      <w:r>
        <w:t xml:space="preserve">Aufforderung zur Belegeinsicht</w:t>
      </w:r>
    </w:p>
    <w:p>
      <w:pPr>
        <w:pStyle w:val="ListParagraph"/>
        <w:numPr>
          <w:ilvl w:val="0"/>
          <w:numId w:val="2"/>
        </w:numPr>
      </w:pPr>
      <w:r>
        <w:t xml:space="preserve">Kombinierte Formulierung für die Klageerwiderung</w:t>
      </w:r>
    </w:p>
    <w:p>
      <w:pPr>
        <w:pStyle w:val="ListParagraph"/>
        <w:numPr>
          <w:ilvl w:val="0"/>
          <w:numId w:val="2"/>
        </w:numPr>
      </w:pPr>
      <w:r>
        <w:t xml:space="preserve">Anträge</w:t>
      </w:r>
    </w:p>
    <w:p>
      <w:pPr>
        <w:pStyle w:val="ListParagraph"/>
        <w:numPr>
          <w:ilvl w:val="0"/>
          <w:numId w:val="2"/>
        </w:numPr>
      </w:pPr>
      <w:r>
        <w:t xml:space="preserve">Mietminderung und Messprotokolle</w:t>
      </w:r>
    </w:p>
    <w:p>
      <w:pPr>
        <w:pStyle w:val="Heading1"/>
      </w:pPr>
      <w:r>
        <w:t xml:space="preserve">1. Anlagenliste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4006"/>
      </w:tblGrid>
      <w:tr>
        <w:tc>
          <w:tcPr>
            <w:tcW w:type="dxa" w:w="1200"/>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left"/>
            </w:pPr>
            <w:r>
              <w:rPr>
                <w:rFonts w:ascii="Arial" w:cs="Arial" w:eastAsia="Arial" w:hAnsi="Arial"/>
                <w:b/>
                <w:bCs/>
                <w:color w:val="FFFFFF"/>
                <w:sz w:val="14"/>
                <w:szCs w:val="14"/>
              </w:rPr>
              <w:t xml:space="preserve">Anlage</w:t>
            </w:r>
          </w:p>
        </w:tc>
        <w:tc>
          <w:tcPr>
            <w:tcW w:type="dxa" w:w="5000"/>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left"/>
            </w:pPr>
            <w:r>
              <w:rPr>
                <w:rFonts w:ascii="Arial" w:cs="Arial" w:eastAsia="Arial" w:hAnsi="Arial"/>
                <w:b/>
                <w:bCs/>
                <w:color w:val="FFFFFF"/>
                <w:sz w:val="14"/>
                <w:szCs w:val="14"/>
              </w:rPr>
              <w:t xml:space="preserve">Bezeichnung</w:t>
            </w:r>
          </w:p>
        </w:tc>
        <w:tc>
          <w:tcPr>
            <w:tcW w:type="dxa" w:w="4006"/>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left"/>
            </w:pPr>
            <w:r>
              <w:rPr>
                <w:rFonts w:ascii="Arial" w:cs="Arial" w:eastAsia="Arial" w:hAnsi="Arial"/>
                <w:b/>
                <w:bCs/>
                <w:color w:val="FFFFFF"/>
                <w:sz w:val="14"/>
                <w:szCs w:val="14"/>
              </w:rPr>
              <w:t xml:space="preserve">Relevanz</w:t>
            </w:r>
          </w:p>
        </w:tc>
      </w:tr>
      <w:tr>
        <w:tc>
          <w:tcPr>
            <w:tcW w:type="dxa" w:w="12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bCs/>
                <w:color w:val="000000"/>
                <w:sz w:val="14"/>
                <w:szCs w:val="14"/>
              </w:rPr>
              <w:t xml:space="preserve">A 1</w:t>
            </w:r>
          </w:p>
        </w:tc>
        <w:tc>
          <w:tcPr>
            <w:tcW w:type="dxa" w:w="5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4"/>
                <w:szCs w:val="14"/>
              </w:rPr>
              <w:t xml:space="preserve">Mietvertrag 2009</w:t>
            </w:r>
          </w:p>
        </w:tc>
        <w:tc>
          <w:tcPr>
            <w:tcW w:type="dxa" w:w="40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3"/>
                <w:szCs w:val="13"/>
              </w:rPr>
              <w:t xml:space="preserve">Grundlage Mietverhältnis, Fläche 58,44 m²</w:t>
            </w:r>
          </w:p>
        </w:tc>
      </w:tr>
      <w:tr>
        <w:tc>
          <w:tcPr>
            <w:tcW w:type="dxa" w:w="12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bCs/>
                <w:color w:val="000000"/>
                <w:sz w:val="14"/>
                <w:szCs w:val="14"/>
              </w:rPr>
              <w:t xml:space="preserve">A 2</w:t>
            </w:r>
          </w:p>
        </w:tc>
        <w:tc>
          <w:tcPr>
            <w:tcW w:type="dxa" w:w="5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4"/>
                <w:szCs w:val="14"/>
              </w:rPr>
              <w:t xml:space="preserve">Betriebskosten-/Heizkostenabrechnungen 2009–2024</w:t>
            </w:r>
          </w:p>
        </w:tc>
        <w:tc>
          <w:tcPr>
            <w:tcW w:type="dxa" w:w="40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3"/>
                <w:szCs w:val="13"/>
              </w:rPr>
              <w:t xml:space="preserve">Grundlage der Kürzungs- und Unwirksamkeitseinwände</w:t>
            </w:r>
          </w:p>
        </w:tc>
      </w:tr>
      <w:tr>
        <w:tc>
          <w:tcPr>
            <w:tcW w:type="dxa" w:w="12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bCs/>
                <w:color w:val="000000"/>
                <w:sz w:val="14"/>
                <w:szCs w:val="14"/>
              </w:rPr>
              <w:t xml:space="preserve">A 3</w:t>
            </w:r>
          </w:p>
        </w:tc>
        <w:tc>
          <w:tcPr>
            <w:tcW w:type="dxa" w:w="5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4"/>
                <w:szCs w:val="14"/>
              </w:rPr>
              <w:t xml:space="preserve">Klageschrift / Verfügung AG Kreuzberg</w:t>
            </w:r>
          </w:p>
        </w:tc>
        <w:tc>
          <w:tcPr>
            <w:tcW w:type="dxa" w:w="40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3"/>
                <w:szCs w:val="13"/>
              </w:rPr>
              <w:t xml:space="preserve">Streitgegenstand, behaupteter Rückstand, anerkannte Minderungen</w:t>
            </w:r>
          </w:p>
        </w:tc>
      </w:tr>
      <w:tr>
        <w:tc>
          <w:tcPr>
            <w:tcW w:type="dxa" w:w="12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bCs/>
                <w:color w:val="000000"/>
                <w:sz w:val="14"/>
                <w:szCs w:val="14"/>
              </w:rPr>
              <w:t xml:space="preserve">A 4</w:t>
            </w:r>
          </w:p>
        </w:tc>
        <w:tc>
          <w:tcPr>
            <w:tcW w:type="dxa" w:w="5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4"/>
                <w:szCs w:val="14"/>
              </w:rPr>
              <w:t xml:space="preserve">Messprotokoll Bosch AdvancedTemp (10/2025–07/2026)</w:t>
            </w:r>
          </w:p>
        </w:tc>
        <w:tc>
          <w:tcPr>
            <w:tcW w:type="dxa" w:w="40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3"/>
                <w:szCs w:val="13"/>
              </w:rPr>
              <w:t xml:space="preserve">Taupunktunterschreitungen, Wärmebrücken, Schimmelgefahr</w:t>
            </w:r>
          </w:p>
        </w:tc>
      </w:tr>
      <w:tr>
        <w:tc>
          <w:tcPr>
            <w:tcW w:type="dxa" w:w="12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bCs/>
                <w:color w:val="000000"/>
                <w:sz w:val="14"/>
                <w:szCs w:val="14"/>
              </w:rPr>
              <w:t xml:space="preserve">A 5</w:t>
            </w:r>
          </w:p>
        </w:tc>
        <w:tc>
          <w:tcPr>
            <w:tcW w:type="dxa" w:w="5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4"/>
                <w:szCs w:val="14"/>
              </w:rPr>
              <w:t xml:space="preserve">E-Mail-Korrespondenz Verwaltung (ab 2018)</w:t>
            </w:r>
          </w:p>
        </w:tc>
        <w:tc>
          <w:tcPr>
            <w:tcW w:type="dxa" w:w="40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3"/>
                <w:szCs w:val="13"/>
              </w:rPr>
              <w:t xml:space="preserve">Mangelanzeigen Schimmel, braunes Wasser, fehlende Dämmung</w:t>
            </w:r>
          </w:p>
        </w:tc>
      </w:tr>
      <w:tr>
        <w:tc>
          <w:tcPr>
            <w:tcW w:type="dxa" w:w="12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bCs/>
                <w:color w:val="000000"/>
                <w:sz w:val="14"/>
                <w:szCs w:val="14"/>
              </w:rPr>
              <w:t xml:space="preserve">A 6</w:t>
            </w:r>
          </w:p>
        </w:tc>
        <w:tc>
          <w:tcPr>
            <w:tcW w:type="dxa" w:w="5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4"/>
                <w:szCs w:val="14"/>
              </w:rPr>
              <w:t xml:space="preserve">Fotodokumentation Schimmel</w:t>
            </w:r>
          </w:p>
        </w:tc>
        <w:tc>
          <w:tcPr>
            <w:tcW w:type="dxa" w:w="40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3"/>
                <w:szCs w:val="13"/>
              </w:rPr>
              <w:t xml:space="preserve">Sichtbare Befälle Bad/Schlafzimmer</w:t>
            </w:r>
          </w:p>
        </w:tc>
      </w:tr>
      <w:tr>
        <w:tc>
          <w:tcPr>
            <w:tcW w:type="dxa" w:w="12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bCs/>
                <w:color w:val="000000"/>
                <w:sz w:val="14"/>
                <w:szCs w:val="14"/>
              </w:rPr>
              <w:t xml:space="preserve">A 7</w:t>
            </w:r>
          </w:p>
        </w:tc>
        <w:tc>
          <w:tcPr>
            <w:tcW w:type="dxa" w:w="5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4"/>
                <w:szCs w:val="14"/>
              </w:rPr>
              <w:t xml:space="preserve">Diese Sammelmappe</w:t>
            </w:r>
          </w:p>
        </w:tc>
        <w:tc>
          <w:tcPr>
            <w:tcW w:type="dxa" w:w="40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3"/>
                <w:szCs w:val="13"/>
              </w:rPr>
              <w:t xml:space="preserve">Analyse, Berechnungshilfe, Formulierungen</w:t>
            </w:r>
          </w:p>
        </w:tc>
      </w:tr>
    </w:tbl>
    <w:p>
      <w:pPr>
        <w:pStyle w:val="Heading1"/>
      </w:pPr>
      <w:r>
        <w:t xml:space="preserve">2. Tabelle aller Nebenkostenposten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1300"/>
        <w:gridCol w:w="1600"/>
        <w:gridCol w:w="2606"/>
      </w:tblGrid>
      <w:tr>
        <w:tc>
          <w:tcPr>
            <w:tcW w:type="dxa" w:w="2000"/>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left"/>
            </w:pPr>
            <w:r>
              <w:rPr>
                <w:rFonts w:ascii="Arial" w:cs="Arial" w:eastAsia="Arial" w:hAnsi="Arial"/>
                <w:b/>
                <w:bCs/>
                <w:color w:val="FFFFFF"/>
                <w:sz w:val="13"/>
                <w:szCs w:val="13"/>
              </w:rPr>
              <w:t xml:space="preserve">Kostenart</w:t>
            </w:r>
          </w:p>
        </w:tc>
        <w:tc>
          <w:tcPr>
            <w:tcW w:type="dxa" w:w="1200"/>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center"/>
            </w:pPr>
            <w:r>
              <w:rPr>
                <w:rFonts w:ascii="Arial" w:cs="Arial" w:eastAsia="Arial" w:hAnsi="Arial"/>
                <w:b/>
                <w:bCs/>
                <w:color w:val="FFFFFF"/>
                <w:sz w:val="13"/>
                <w:szCs w:val="13"/>
              </w:rPr>
              <w:t xml:space="preserve">Bestritten</w:t>
            </w:r>
          </w:p>
        </w:tc>
        <w:tc>
          <w:tcPr>
            <w:tcW w:type="dxa" w:w="1500"/>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center"/>
            </w:pPr>
            <w:r>
              <w:rPr>
                <w:rFonts w:ascii="Arial" w:cs="Arial" w:eastAsia="Arial" w:hAnsi="Arial"/>
                <w:b/>
                <w:bCs/>
                <w:color w:val="FFFFFF"/>
                <w:sz w:val="13"/>
                <w:szCs w:val="13"/>
              </w:rPr>
              <w:t xml:space="preserve">Gekürzt</w:t>
            </w:r>
          </w:p>
        </w:tc>
        <w:tc>
          <w:tcPr>
            <w:tcW w:type="dxa" w:w="1300"/>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center"/>
            </w:pPr>
            <w:r>
              <w:rPr>
                <w:rFonts w:ascii="Arial" w:cs="Arial" w:eastAsia="Arial" w:hAnsi="Arial"/>
                <w:b/>
                <w:bCs/>
                <w:color w:val="FFFFFF"/>
                <w:sz w:val="13"/>
                <w:szCs w:val="13"/>
              </w:rPr>
              <w:t xml:space="preserve">Belege</w:t>
            </w:r>
          </w:p>
        </w:tc>
        <w:tc>
          <w:tcPr>
            <w:tcW w:type="dxa" w:w="1600"/>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center"/>
            </w:pPr>
            <w:r>
              <w:rPr>
                <w:rFonts w:ascii="Arial" w:cs="Arial" w:eastAsia="Arial" w:hAnsi="Arial"/>
                <w:b/>
                <w:bCs/>
                <w:color w:val="FFFFFF"/>
                <w:sz w:val="13"/>
                <w:szCs w:val="13"/>
              </w:rPr>
              <w:t xml:space="preserve">Betrag</w:t>
            </w:r>
          </w:p>
        </w:tc>
        <w:tc>
          <w:tcPr>
            <w:tcW w:type="dxa" w:w="2606"/>
            <w:tcBorders>
              <w:top w:val="single" w:color="1F4E79" w:sz="1"/>
              <w:left w:val="single" w:color="1F4E79" w:sz="1"/>
              <w:bottom w:val="single" w:color="1F4E79" w:sz="1"/>
              <w:right w:val="single" w:color="1F4E79" w:sz="1"/>
            </w:tcBorders>
            <w:shd w:fill="1F4E79" w:val="clear"/>
            <w:tcMar>
              <w:top w:type="dxa" w:w="35"/>
              <w:left w:type="dxa" w:w="50"/>
              <w:bottom w:type="dxa" w:w="35"/>
              <w:right w:type="dxa" w:w="50"/>
            </w:tcMar>
          </w:tcPr>
          <w:p>
            <w:pPr>
              <w:jc w:val="left"/>
            </w:pPr>
            <w:r>
              <w:rPr>
                <w:rFonts w:ascii="Arial" w:cs="Arial" w:eastAsia="Arial" w:hAnsi="Arial"/>
                <w:b/>
                <w:bCs/>
                <w:color w:val="FFFFFF"/>
                <w:sz w:val="13"/>
                <w:szCs w:val="13"/>
              </w:rPr>
              <w:t xml:space="preserve">Bemerkung</w:t>
            </w:r>
          </w:p>
        </w:tc>
      </w:tr>
      <w:tr>
        <w:tc>
          <w:tcPr>
            <w:tcW w:type="dxa" w:w="2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bCs/>
                <w:color w:val="000000"/>
                <w:sz w:val="13"/>
                <w:szCs w:val="13"/>
              </w:rPr>
              <w:t xml:space="preserve">Hauswartkosten</w:t>
            </w:r>
          </w:p>
        </w:tc>
        <w:tc>
          <w:tcPr>
            <w:tcW w:type="dxa" w:w="1200"/>
            <w:tcBorders>
              <w:top w:val="single" w:color="1F4E79" w:sz="1"/>
              <w:left w:val="single" w:color="1F4E79" w:sz="1"/>
              <w:bottom w:val="single" w:color="1F4E79" w:sz="1"/>
              <w:right w:val="single" w:color="1F4E79" w:sz="1"/>
            </w:tcBorders>
            <w:shd w:fill="FCE4D6" w:val="clear"/>
            <w:tcMar>
              <w:top w:type="dxa" w:w="35"/>
              <w:left w:type="dxa" w:w="50"/>
              <w:bottom w:type="dxa" w:w="35"/>
              <w:right w:type="dxa" w:w="50"/>
            </w:tcMar>
          </w:tcPr>
          <w:p>
            <w:pPr>
              <w:jc w:val="center"/>
            </w:pPr>
            <w:r>
              <w:rPr>
                <w:rFonts w:ascii="Arial" w:cs="Arial" w:eastAsia="Arial" w:hAnsi="Arial"/>
                <w:b w:val="false"/>
                <w:bCs w:val="false"/>
                <w:color w:val="FFFFFF"/>
                <w:sz w:val="13"/>
                <w:szCs w:val="13"/>
              </w:rPr>
              <w:t xml:space="preserve">JA</w:t>
            </w:r>
          </w:p>
        </w:tc>
        <w:tc>
          <w:tcPr>
            <w:tcW w:type="dxa" w:w="1500"/>
            <w:tcBorders>
              <w:top w:val="single" w:color="1F4E79" w:sz="1"/>
              <w:left w:val="single" w:color="1F4E79" w:sz="1"/>
              <w:bottom w:val="single" w:color="1F4E79" w:sz="1"/>
              <w:right w:val="single" w:color="1F4E79" w:sz="1"/>
            </w:tcBorders>
            <w:shd w:fill="FCE4D6" w:val="clear"/>
            <w:tcMar>
              <w:top w:type="dxa" w:w="35"/>
              <w:left w:type="dxa" w:w="50"/>
              <w:bottom w:type="dxa" w:w="35"/>
              <w:right w:type="dxa" w:w="50"/>
            </w:tcMar>
          </w:tcPr>
          <w:p>
            <w:pPr>
              <w:jc w:val="center"/>
            </w:pPr>
            <w:r>
              <w:rPr>
                <w:rFonts w:ascii="Arial" w:cs="Arial" w:eastAsia="Arial" w:hAnsi="Arial"/>
                <w:b w:val="false"/>
                <w:bCs w:val="false"/>
                <w:color w:val="FFFFFF"/>
                <w:sz w:val="12"/>
                <w:szCs w:val="12"/>
              </w:rPr>
              <w:t xml:space="preserve">30 % hilfsweise</w:t>
            </w:r>
          </w:p>
        </w:tc>
        <w:tc>
          <w:tcPr>
            <w:tcW w:type="dxa" w:w="1300"/>
            <w:tcBorders>
              <w:top w:val="single" w:color="1F4E79" w:sz="1"/>
              <w:left w:val="single" w:color="1F4E79" w:sz="1"/>
              <w:bottom w:val="single" w:color="1F4E79" w:sz="1"/>
              <w:right w:val="single" w:color="1F4E79" w:sz="1"/>
            </w:tcBorders>
            <w:shd w:fill="FCE4D6" w:val="clear"/>
            <w:tcMar>
              <w:top w:type="dxa" w:w="35"/>
              <w:left w:type="dxa" w:w="50"/>
              <w:bottom w:type="dxa" w:w="35"/>
              <w:right w:type="dxa" w:w="50"/>
            </w:tcMar>
          </w:tcPr>
          <w:p>
            <w:pPr>
              <w:jc w:val="center"/>
            </w:pPr>
            <w:r>
              <w:rPr>
                <w:rFonts w:ascii="Arial" w:cs="Arial" w:eastAsia="Arial" w:hAnsi="Arial"/>
                <w:b w:val="false"/>
                <w:bCs w:val="false"/>
                <w:color w:val="FFFFFF"/>
                <w:sz w:val="13"/>
                <w:szCs w:val="13"/>
              </w:rPr>
              <w:t xml:space="preserve">JA</w:t>
            </w:r>
          </w:p>
        </w:tc>
        <w:tc>
          <w:tcPr>
            <w:tcW w:type="dxa" w:w="16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center"/>
            </w:pPr>
            <w:r>
              <w:rPr>
                <w:rFonts w:ascii="Arial" w:cs="Arial" w:eastAsia="Arial" w:hAnsi="Arial"/>
                <w:b w:val="false"/>
                <w:bCs w:val="false"/>
                <w:color w:val="000000"/>
                <w:sz w:val="13"/>
                <w:szCs w:val="13"/>
              </w:rPr>
              <w:t xml:space="preserve">30 %</w:t>
            </w:r>
          </w:p>
        </w:tc>
        <w:tc>
          <w:tcPr>
            <w:tcW w:type="dxa" w:w="26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2"/>
                <w:szCs w:val="12"/>
              </w:rPr>
              <w:t xml:space="preserve">Keine Aufschlüsselung 2009–2024</w:t>
            </w:r>
          </w:p>
        </w:tc>
      </w:tr>
      <w:tr>
        <w:tc>
          <w:tcPr>
            <w:tcW w:type="dxa" w:w="2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bCs/>
                <w:color w:val="000000"/>
                <w:sz w:val="13"/>
                <w:szCs w:val="13"/>
              </w:rPr>
              <w:t xml:space="preserve">Heiz-/WW 2010</w:t>
            </w:r>
          </w:p>
        </w:tc>
        <w:tc>
          <w:tcPr>
            <w:tcW w:type="dxa" w:w="1200"/>
            <w:tcBorders>
              <w:top w:val="single" w:color="1F4E79" w:sz="1"/>
              <w:left w:val="single" w:color="1F4E79" w:sz="1"/>
              <w:bottom w:val="single" w:color="1F4E79" w:sz="1"/>
              <w:right w:val="single" w:color="1F4E79" w:sz="1"/>
            </w:tcBorders>
            <w:shd w:fill="FCE4D6" w:val="clear"/>
            <w:tcMar>
              <w:top w:type="dxa" w:w="35"/>
              <w:left w:type="dxa" w:w="50"/>
              <w:bottom w:type="dxa" w:w="35"/>
              <w:right w:type="dxa" w:w="50"/>
            </w:tcMar>
          </w:tcPr>
          <w:p>
            <w:pPr>
              <w:jc w:val="center"/>
            </w:pPr>
            <w:r>
              <w:rPr>
                <w:rFonts w:ascii="Arial" w:cs="Arial" w:eastAsia="Arial" w:hAnsi="Arial"/>
                <w:b w:val="false"/>
                <w:bCs w:val="false"/>
                <w:color w:val="FFFFFF"/>
                <w:sz w:val="13"/>
                <w:szCs w:val="13"/>
              </w:rPr>
              <w:t xml:space="preserve">JA</w:t>
            </w:r>
          </w:p>
        </w:tc>
        <w:tc>
          <w:tcPr>
            <w:tcW w:type="dxa" w:w="1500"/>
            <w:tcBorders>
              <w:top w:val="single" w:color="1F4E79" w:sz="1"/>
              <w:left w:val="single" w:color="1F4E79" w:sz="1"/>
              <w:bottom w:val="single" w:color="1F4E79" w:sz="1"/>
              <w:right w:val="single" w:color="1F4E79" w:sz="1"/>
            </w:tcBorders>
            <w:shd w:fill="FCE4D6" w:val="clear"/>
            <w:tcMar>
              <w:top w:type="dxa" w:w="35"/>
              <w:left w:type="dxa" w:w="50"/>
              <w:bottom w:type="dxa" w:w="35"/>
              <w:right w:type="dxa" w:w="50"/>
            </w:tcMar>
          </w:tcPr>
          <w:p>
            <w:pPr>
              <w:jc w:val="center"/>
            </w:pPr>
            <w:r>
              <w:rPr>
                <w:rFonts w:ascii="Arial" w:cs="Arial" w:eastAsia="Arial" w:hAnsi="Arial"/>
                <w:b w:val="false"/>
                <w:bCs w:val="false"/>
                <w:color w:val="FFFFFF"/>
                <w:sz w:val="13"/>
                <w:szCs w:val="13"/>
              </w:rPr>
              <w:t xml:space="preserve">15 %</w:t>
            </w:r>
          </w:p>
        </w:tc>
        <w:tc>
          <w:tcPr>
            <w:tcW w:type="dxa" w:w="1300"/>
            <w:tcBorders>
              <w:top w:val="single" w:color="1F4E79" w:sz="1"/>
              <w:left w:val="single" w:color="1F4E79" w:sz="1"/>
              <w:bottom w:val="single" w:color="1F4E79" w:sz="1"/>
              <w:right w:val="single" w:color="1F4E79" w:sz="1"/>
            </w:tcBorders>
            <w:shd w:fill="FCE4D6" w:val="clear"/>
            <w:tcMar>
              <w:top w:type="dxa" w:w="35"/>
              <w:left w:type="dxa" w:w="50"/>
              <w:bottom w:type="dxa" w:w="35"/>
              <w:right w:type="dxa" w:w="50"/>
            </w:tcMar>
          </w:tcPr>
          <w:p>
            <w:pPr>
              <w:jc w:val="center"/>
            </w:pPr>
            <w:r>
              <w:rPr>
                <w:rFonts w:ascii="Arial" w:cs="Arial" w:eastAsia="Arial" w:hAnsi="Arial"/>
                <w:b w:val="false"/>
                <w:bCs w:val="false"/>
                <w:color w:val="FFFFFF"/>
                <w:sz w:val="13"/>
                <w:szCs w:val="13"/>
              </w:rPr>
              <w:t xml:space="preserve">JA</w:t>
            </w:r>
          </w:p>
        </w:tc>
        <w:tc>
          <w:tcPr>
            <w:tcW w:type="dxa" w:w="16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center"/>
            </w:pPr>
            <w:r>
              <w:rPr>
                <w:rFonts w:ascii="Arial" w:cs="Arial" w:eastAsia="Arial" w:hAnsi="Arial"/>
                <w:b w:val="false"/>
                <w:bCs w:val="false"/>
                <w:color w:val="000000"/>
                <w:sz w:val="13"/>
                <w:szCs w:val="13"/>
              </w:rPr>
              <w:t xml:space="preserve">154,61 €</w:t>
            </w:r>
          </w:p>
        </w:tc>
        <w:tc>
          <w:tcPr>
            <w:tcW w:type="dxa" w:w="26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2"/>
                <w:szCs w:val="12"/>
              </w:rPr>
              <w:t xml:space="preserve">Unzulässige Schätzung (*V*)</w:t>
            </w:r>
          </w:p>
        </w:tc>
      </w:tr>
      <w:tr>
        <w:tc>
          <w:tcPr>
            <w:tcW w:type="dxa" w:w="2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2"/>
                <w:szCs w:val="12"/>
              </w:rPr>
              <w:t xml:space="preserve">Versicherungen / Ungeziefer / Rauchwarnmelder / CO₂</w:t>
            </w:r>
          </w:p>
        </w:tc>
        <w:tc>
          <w:tcPr>
            <w:tcW w:type="dxa" w:w="12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center"/>
            </w:pPr>
            <w:r>
              <w:rPr>
                <w:rFonts w:ascii="Arial" w:cs="Arial" w:eastAsia="Arial" w:hAnsi="Arial"/>
                <w:b w:val="false"/>
                <w:bCs w:val="false"/>
                <w:color w:val="000000"/>
                <w:sz w:val="12"/>
                <w:szCs w:val="12"/>
              </w:rPr>
              <w:t xml:space="preserve">JA / teilweise</w:t>
            </w:r>
          </w:p>
        </w:tc>
        <w:tc>
          <w:tcPr>
            <w:tcW w:type="dxa" w:w="15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center"/>
            </w:pPr>
            <w:r>
              <w:rPr>
                <w:rFonts w:ascii="Arial" w:cs="Arial" w:eastAsia="Arial" w:hAnsi="Arial"/>
                <w:b w:val="false"/>
                <w:bCs w:val="false"/>
                <w:color w:val="000000"/>
                <w:sz w:val="12"/>
                <w:szCs w:val="12"/>
              </w:rPr>
              <w:t xml:space="preserve">nach Prüfung</w:t>
            </w:r>
          </w:p>
        </w:tc>
        <w:tc>
          <w:tcPr>
            <w:tcW w:type="dxa" w:w="13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center"/>
            </w:pPr>
            <w:r>
              <w:rPr>
                <w:rFonts w:ascii="Arial" w:cs="Arial" w:eastAsia="Arial" w:hAnsi="Arial"/>
                <w:b w:val="false"/>
                <w:bCs w:val="false"/>
                <w:color w:val="000000"/>
                <w:sz w:val="13"/>
                <w:szCs w:val="13"/>
              </w:rPr>
              <w:t xml:space="preserve">JA</w:t>
            </w:r>
          </w:p>
        </w:tc>
        <w:tc>
          <w:tcPr>
            <w:tcW w:type="dxa" w:w="16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center"/>
            </w:pPr>
            <w:r>
              <w:rPr>
                <w:rFonts w:ascii="Arial" w:cs="Arial" w:eastAsia="Arial" w:hAnsi="Arial"/>
                <w:b w:val="false"/>
                <w:bCs w:val="false"/>
                <w:color w:val="000000"/>
                <w:sz w:val="13"/>
                <w:szCs w:val="13"/>
              </w:rPr>
              <w:t xml:space="preserve">offen</w:t>
            </w:r>
          </w:p>
        </w:tc>
        <w:tc>
          <w:tcPr>
            <w:tcW w:type="dxa" w:w="26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2"/>
                <w:szCs w:val="12"/>
              </w:rPr>
              <w:t xml:space="preserve">Belege + Aufschlüsselung fordern</w:t>
            </w:r>
          </w:p>
        </w:tc>
      </w:tr>
      <w:tr>
        <w:tc>
          <w:tcPr>
            <w:tcW w:type="dxa" w:w="2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2"/>
                <w:szCs w:val="12"/>
              </w:rPr>
              <w:t xml:space="preserve">Sonstige BK (Grundsteuer, Wasser, Müll, Reinigung etc.)</w:t>
            </w:r>
          </w:p>
        </w:tc>
        <w:tc>
          <w:tcPr>
            <w:tcW w:type="dxa" w:w="12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center"/>
            </w:pPr>
            <w:r>
              <w:rPr>
                <w:rFonts w:ascii="Arial" w:cs="Arial" w:eastAsia="Arial" w:hAnsi="Arial"/>
                <w:b w:val="false"/>
                <w:bCs w:val="false"/>
                <w:color w:val="000000"/>
                <w:sz w:val="13"/>
                <w:szCs w:val="13"/>
              </w:rPr>
              <w:t xml:space="preserve">Nein*</w:t>
            </w:r>
          </w:p>
        </w:tc>
        <w:tc>
          <w:tcPr>
            <w:tcW w:type="dxa" w:w="15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center"/>
            </w:pPr>
            <w:r>
              <w:rPr>
                <w:rFonts w:ascii="Arial" w:cs="Arial" w:eastAsia="Arial" w:hAnsi="Arial"/>
                <w:b w:val="false"/>
                <w:bCs w:val="false"/>
                <w:color w:val="000000"/>
                <w:sz w:val="13"/>
                <w:szCs w:val="13"/>
              </w:rPr>
              <w:t xml:space="preserve">–</w:t>
            </w:r>
          </w:p>
        </w:tc>
        <w:tc>
          <w:tcPr>
            <w:tcW w:type="dxa" w:w="13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center"/>
            </w:pPr>
            <w:r>
              <w:rPr>
                <w:rFonts w:ascii="Arial" w:cs="Arial" w:eastAsia="Arial" w:hAnsi="Arial"/>
                <w:b w:val="false"/>
                <w:bCs w:val="false"/>
                <w:color w:val="000000"/>
                <w:sz w:val="13"/>
                <w:szCs w:val="13"/>
              </w:rPr>
              <w:t xml:space="preserve">JA</w:t>
            </w:r>
          </w:p>
        </w:tc>
        <w:tc>
          <w:tcPr>
            <w:tcW w:type="dxa" w:w="16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center"/>
            </w:pPr>
            <w:r>
              <w:rPr>
                <w:rFonts w:ascii="Arial" w:cs="Arial" w:eastAsia="Arial" w:hAnsi="Arial"/>
                <w:b w:val="false"/>
                <w:bCs w:val="false"/>
                <w:color w:val="000000"/>
                <w:sz w:val="13"/>
                <w:szCs w:val="13"/>
              </w:rPr>
              <w:t xml:space="preserve">–</w:t>
            </w:r>
          </w:p>
        </w:tc>
        <w:tc>
          <w:tcPr>
            <w:tcW w:type="dxa" w:w="26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2"/>
                <w:szCs w:val="12"/>
              </w:rPr>
              <w:t xml:space="preserve">*vorbehaltlich Belegeinsicht</w:t>
            </w:r>
          </w:p>
        </w:tc>
      </w:tr>
      <w:tr>
        <w:tc>
          <w:tcPr>
            <w:tcW w:type="dxa" w:w="20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bCs/>
                <w:color w:val="000000"/>
                <w:sz w:val="13"/>
                <w:szCs w:val="13"/>
              </w:rPr>
              <w:t xml:space="preserve">Fernablesbarkeit / § 6a</w:t>
            </w:r>
          </w:p>
        </w:tc>
        <w:tc>
          <w:tcPr>
            <w:tcW w:type="dxa" w:w="1200"/>
            <w:tcBorders>
              <w:top w:val="single" w:color="1F4E79" w:sz="1"/>
              <w:left w:val="single" w:color="1F4E79" w:sz="1"/>
              <w:bottom w:val="single" w:color="1F4E79" w:sz="1"/>
              <w:right w:val="single" w:color="1F4E79" w:sz="1"/>
            </w:tcBorders>
            <w:shd w:fill="FFF2CC" w:val="clear"/>
            <w:tcMar>
              <w:top w:type="dxa" w:w="35"/>
              <w:left w:type="dxa" w:w="50"/>
              <w:bottom w:type="dxa" w:w="35"/>
              <w:right w:type="dxa" w:w="50"/>
            </w:tcMar>
          </w:tcPr>
          <w:p>
            <w:pPr>
              <w:jc w:val="center"/>
            </w:pPr>
            <w:r>
              <w:rPr>
                <w:rFonts w:ascii="Arial" w:cs="Arial" w:eastAsia="Arial" w:hAnsi="Arial"/>
                <w:b w:val="false"/>
                <w:bCs w:val="false"/>
                <w:color w:val="FFFFFF"/>
                <w:sz w:val="13"/>
                <w:szCs w:val="13"/>
              </w:rPr>
              <w:t xml:space="preserve">JA</w:t>
            </w:r>
          </w:p>
        </w:tc>
        <w:tc>
          <w:tcPr>
            <w:tcW w:type="dxa" w:w="1500"/>
            <w:tcBorders>
              <w:top w:val="single" w:color="1F4E79" w:sz="1"/>
              <w:left w:val="single" w:color="1F4E79" w:sz="1"/>
              <w:bottom w:val="single" w:color="1F4E79" w:sz="1"/>
              <w:right w:val="single" w:color="1F4E79" w:sz="1"/>
            </w:tcBorders>
            <w:shd w:fill="FFF2CC" w:val="clear"/>
            <w:tcMar>
              <w:top w:type="dxa" w:w="35"/>
              <w:left w:type="dxa" w:w="50"/>
              <w:bottom w:type="dxa" w:w="35"/>
              <w:right w:type="dxa" w:w="50"/>
            </w:tcMar>
          </w:tcPr>
          <w:p>
            <w:pPr>
              <w:jc w:val="center"/>
            </w:pPr>
            <w:r>
              <w:rPr>
                <w:rFonts w:ascii="Arial" w:cs="Arial" w:eastAsia="Arial" w:hAnsi="Arial"/>
                <w:b w:val="false"/>
                <w:bCs w:val="false"/>
                <w:color w:val="FFFFFF"/>
                <w:sz w:val="12"/>
                <w:szCs w:val="12"/>
              </w:rPr>
              <w:t xml:space="preserve">3 % möglich</w:t>
            </w:r>
          </w:p>
        </w:tc>
        <w:tc>
          <w:tcPr>
            <w:tcW w:type="dxa" w:w="1300"/>
            <w:tcBorders>
              <w:top w:val="single" w:color="1F4E79" w:sz="1"/>
              <w:left w:val="single" w:color="1F4E79" w:sz="1"/>
              <w:bottom w:val="single" w:color="1F4E79" w:sz="1"/>
              <w:right w:val="single" w:color="1F4E79" w:sz="1"/>
            </w:tcBorders>
            <w:shd w:fill="FFF2CC" w:val="clear"/>
            <w:tcMar>
              <w:top w:type="dxa" w:w="35"/>
              <w:left w:type="dxa" w:w="50"/>
              <w:bottom w:type="dxa" w:w="35"/>
              <w:right w:type="dxa" w:w="50"/>
            </w:tcMar>
          </w:tcPr>
          <w:p>
            <w:pPr>
              <w:jc w:val="center"/>
            </w:pPr>
            <w:r>
              <w:rPr>
                <w:rFonts w:ascii="Arial" w:cs="Arial" w:eastAsia="Arial" w:hAnsi="Arial"/>
                <w:b w:val="false"/>
                <w:bCs w:val="false"/>
                <w:color w:val="FFFFFF"/>
                <w:sz w:val="13"/>
                <w:szCs w:val="13"/>
              </w:rPr>
              <w:t xml:space="preserve">JA</w:t>
            </w:r>
          </w:p>
        </w:tc>
        <w:tc>
          <w:tcPr>
            <w:tcW w:type="dxa" w:w="1600"/>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center"/>
            </w:pPr>
            <w:r>
              <w:rPr>
                <w:rFonts w:ascii="Arial" w:cs="Arial" w:eastAsia="Arial" w:hAnsi="Arial"/>
                <w:b w:val="false"/>
                <w:bCs w:val="false"/>
                <w:color w:val="000000"/>
                <w:sz w:val="13"/>
                <w:szCs w:val="13"/>
              </w:rPr>
              <w:t xml:space="preserve">3 %</w:t>
            </w:r>
          </w:p>
        </w:tc>
        <w:tc>
          <w:tcPr>
            <w:tcW w:type="dxa" w:w="2606"/>
            <w:tcBorders>
              <w:top w:val="single" w:color="666666" w:sz="1"/>
              <w:left w:val="single" w:color="666666" w:sz="1"/>
              <w:bottom w:val="single" w:color="666666" w:sz="1"/>
              <w:right w:val="single" w:color="666666" w:sz="1"/>
            </w:tcBorders>
            <w:tcMar>
              <w:top w:type="dxa" w:w="35"/>
              <w:left w:type="dxa" w:w="50"/>
              <w:bottom w:type="dxa" w:w="35"/>
              <w:right w:type="dxa" w:w="50"/>
            </w:tcMar>
          </w:tcPr>
          <w:p>
            <w:pPr>
              <w:jc w:val="left"/>
            </w:pPr>
            <w:r>
              <w:rPr>
                <w:rFonts w:ascii="Arial" w:cs="Arial" w:eastAsia="Arial" w:hAnsi="Arial"/>
                <w:b w:val="false"/>
                <w:bCs w:val="false"/>
                <w:color w:val="000000"/>
                <w:sz w:val="12"/>
                <w:szCs w:val="12"/>
              </w:rPr>
              <w:t xml:space="preserve">Keine BGH-Einschränkung; gesetzlich klar</w:t>
            </w:r>
          </w:p>
        </w:tc>
      </w:tr>
    </w:tbl>
    <w:p>
      <w:pPr>
        <w:pStyle w:val="Heading1"/>
      </w:pPr>
      <w:r>
        <w:t xml:space="preserve">3. Einzelausstellungen</w:t>
      </w:r>
    </w:p>
    <w:p>
      <w:pPr>
        <w:pStyle w:val="Heading2"/>
      </w:pPr>
      <w:r>
        <w:t xml:space="preserve">3.1 Jahr 2010 – Heizkosten</w:t>
      </w:r>
    </w:p>
    <w:p>
      <w:pPr>
        <w:spacing w:after="50"/>
      </w:pPr>
      <w:r>
        <w:rPr>
          <w:sz w:val="17"/>
          <w:szCs w:val="17"/>
        </w:rPr>
        <w:t xml:space="preserve">Anteil: 1.030,73 €. Mangel: Unzulässige Schätzung (*V*) ohne § 9a-Nachweis. Kürzung 15 % = 154,61 €.</w:t>
      </w:r>
    </w:p>
    <w:p>
      <w:pPr>
        <w:spacing w:after="100"/>
      </w:pPr>
      <w:r>
        <w:rPr>
          <w:i/>
          <w:iCs/>
          <w:sz w:val="16"/>
          <w:szCs w:val="16"/>
        </w:rPr>
        <w:t xml:space="preserve">Formulierung: „Die Heizkostenabrechnung 2010 verstößt gegen § 9a HeizkostenV. Der Beklagte kürzt den Anteil um 15 %, mithin um 154,61 €.“</w:t>
      </w:r>
    </w:p>
    <w:p>
      <w:pPr>
        <w:pStyle w:val="Heading2"/>
      </w:pPr>
      <w:r>
        <w:t xml:space="preserve">3.2 Jahr 2014 – Hauswart</w:t>
      </w:r>
    </w:p>
    <w:p>
      <w:pPr>
        <w:spacing w:after="50"/>
      </w:pPr>
      <w:r>
        <w:rPr>
          <w:sz w:val="17"/>
          <w:szCs w:val="17"/>
        </w:rPr>
        <w:t xml:space="preserve">Anteil: 73,63 €. Mangel: Keine Aufschlüsselung. Hilfsweise Kürzung 30 % = 22,09 €.</w:t>
      </w:r>
    </w:p>
    <w:p>
      <w:pPr>
        <w:spacing w:after="100"/>
      </w:pPr>
      <w:r>
        <w:rPr>
          <w:i/>
          <w:iCs/>
          <w:sz w:val="16"/>
          <w:szCs w:val="16"/>
        </w:rPr>
        <w:t xml:space="preserve">Formulierung: „Die Hauswartkosten 2014 werden bestritten. Hilfsweise wird eine Kürzung von 30 % (22,09 €) geltend gemacht.“</w:t>
      </w:r>
    </w:p>
    <w:p>
      <w:pPr>
        <w:pStyle w:val="Heading2"/>
      </w:pPr>
      <w:r>
        <w:t xml:space="preserve">3.3 / 3.4 Jahre 2023 und 2024 – Guthaben</w:t>
      </w:r>
    </w:p>
    <w:p>
      <w:pPr>
        <w:spacing w:after="50"/>
      </w:pPr>
      <w:r>
        <w:rPr>
          <w:sz w:val="17"/>
          <w:szCs w:val="17"/>
        </w:rPr>
        <w:t xml:space="preserve">2023: Heiz-Guthaben 654,03 €. 2024: Heiz-Guthaben 591,48 €, BK-Nachzahlung 539,54 € → Netto-Guthaben 51,94 €.</w:t>
      </w:r>
    </w:p>
    <w:p>
      <w:pPr>
        <w:spacing w:after="120"/>
      </w:pPr>
      <w:r>
        <w:rPr>
          <w:i/>
          <w:iCs/>
          <w:sz w:val="16"/>
          <w:szCs w:val="16"/>
        </w:rPr>
        <w:t xml:space="preserve">Formulierung: „Die Guthaben 2023 (654,03 €) und 2024 (Netto 51,94 €) sind vollständig zu berücksichtigen und zu verrechnen.“</w:t>
      </w:r>
    </w:p>
    <w:p>
      <w:pPr>
        <w:pStyle w:val="Heading1"/>
      </w:pPr>
      <w:r>
        <w:t xml:space="preserve">4. Berechnungshilfe</w:t>
      </w:r>
    </w:p>
    <w:p>
      <w:pPr>
        <w:spacing w:after="40"/>
      </w:pPr>
      <w:r>
        <w:rPr>
          <w:sz w:val="17"/>
          <w:szCs w:val="17"/>
        </w:rPr>
        <w:t xml:space="preserve">Hauswart: hilfsweise 30 % (Verwaltung 10–20 % + Instandhaltung 15–25 %).</w:t>
      </w:r>
    </w:p>
    <w:p>
      <w:pPr>
        <w:spacing w:after="40"/>
      </w:pPr>
      <w:r>
        <w:rPr>
          <w:sz w:val="17"/>
          <w:szCs w:val="17"/>
        </w:rPr>
        <w:t xml:space="preserve">Heizkosten 2010: 1.030,73 € × 15 % = 154,61 €.</w:t>
      </w:r>
    </w:p>
    <w:p>
      <w:pPr>
        <w:spacing w:after="120"/>
      </w:pPr>
      <w:r>
        <w:rPr>
          <w:sz w:val="17"/>
          <w:szCs w:val="17"/>
        </w:rPr>
        <w:t xml:space="preserve">Guthaben 2023/2024: 654,03 € + 51,94 € (Netto) vollständig verrechnen.</w:t>
      </w:r>
    </w:p>
    <w:p>
      <w:pPr>
        <w:pStyle w:val="Heading1"/>
      </w:pPr>
      <w:r>
        <w:t xml:space="preserve">5. Rechtslage § 6a HeizkostenV und BGH-Rechtsprechung</w:t>
      </w:r>
    </w:p>
    <w:p>
      <w:pPr>
        <w:spacing w:after="80"/>
      </w:pPr>
      <w:r>
        <w:rPr>
          <w:sz w:val="17"/>
          <w:szCs w:val="17"/>
        </w:rPr>
        <w:t xml:space="preserve">Zum § 6a HeizkostenV (Abrechnungs- und Verbrauchsinformationen) existiert bislang keine veröffentlichte Leitentscheidung des BGH. Die Vorschrift wurde mit der Novelle 2021 eingeführt. Das 3-%-Kürzungsrecht bei Verstößen gegen § 6a ist gesetzlich klar in § 12 Abs. 1 Satz 2 und 3 HeizkostenV geregelt und wird in Literatur sowie Praxis der Mietervereine einheitlich anerkannt.</w:t>
      </w:r>
    </w:p>
    <w:p>
      <w:pPr>
        <w:spacing w:after="60"/>
      </w:pPr>
      <w:r>
        <w:rPr>
          <w:b/>
          <w:bCs/>
          <w:sz w:val="17"/>
          <w:szCs w:val="17"/>
        </w:rPr>
        <w:t xml:space="preserve">Verwandte BGH-Rechtsprechung zu § 12 HeizkostenV:</w:t>
      </w:r>
    </w:p>
    <w:p>
      <w:pPr>
        <w:pStyle w:val="ListParagraph"/>
        <w:numPr>
          <w:ilvl w:val="0"/>
          <w:numId w:val="3"/>
        </w:numPr>
      </w:pPr>
      <w:r>
        <w:rPr>
          <w:b/>
          <w:bCs/>
        </w:rPr>
        <w:t xml:space="preserve">BGH, 12.01.2022 – VIII ZR 151/20: </w:t>
      </w:r>
      <w:r>
        <w:t xml:space="preserve">Auch teilweise Verstöße gegen die HeizkostenV lösen das Kürzungsrecht aus.</w:t>
      </w:r>
    </w:p>
    <w:p>
      <w:pPr>
        <w:pStyle w:val="ListParagraph"/>
        <w:numPr>
          <w:ilvl w:val="0"/>
          <w:numId w:val="3"/>
        </w:numPr>
      </w:pPr>
      <w:r>
        <w:rPr>
          <w:b/>
          <w:bCs/>
        </w:rPr>
        <w:t xml:space="preserve">BGH, 16.11.2005 – VIII ZR 373/04: </w:t>
      </w:r>
      <w:r>
        <w:t xml:space="preserve">Kürzungsrecht greift bei Verstoß gegen die Vorschriften der Verordnung.</w:t>
      </w:r>
    </w:p>
    <w:p>
      <w:pPr>
        <w:pStyle w:val="ListParagraph"/>
        <w:numPr>
          <w:ilvl w:val="0"/>
          <w:numId w:val="3"/>
        </w:numPr>
        <w:spacing w:after="80"/>
      </w:pPr>
      <w:r>
        <w:rPr>
          <w:b/>
          <w:bCs/>
        </w:rPr>
        <w:t xml:space="preserve">BGH, 20.01.2016 – VIII ZR 329/14: </w:t>
      </w:r>
      <w:r>
        <w:t xml:space="preserve">Kürzungsbetrag wird vom ausgewiesenen Nutzeranteil berechnet.</w:t>
      </w:r>
    </w:p>
    <w:p>
      <w:pPr>
        <w:spacing w:after="80"/>
      </w:pPr>
      <w:r>
        <w:rPr>
          <w:sz w:val="17"/>
          <w:szCs w:val="17"/>
        </w:rPr>
        <w:t xml:space="preserve">Es gibt keine BGH-Entscheidung, die das 3-%-Recht nach § 6a einschränkt. Die Darlegungs- und Beweislast für die Erteilung der Informationen liegt beim Vermieter.</w:t>
      </w:r>
    </w:p>
    <w:p>
      <w:pPr>
        <w:spacing w:after="60"/>
      </w:pPr>
      <w:r>
        <w:rPr>
          <w:b/>
          <w:bCs/>
          <w:sz w:val="17"/>
          <w:szCs w:val="17"/>
        </w:rPr>
        <w:t xml:space="preserve">Formulierung (aktualisiert):</w:t>
      </w:r>
    </w:p>
    <w:p>
      <w:pPr>
        <w:spacing w:after="140"/>
      </w:pPr>
      <w:r>
        <w:rPr>
          <w:i/>
          <w:iCs/>
          <w:sz w:val="16"/>
          <w:szCs w:val="16"/>
        </w:rPr>
        <w:t xml:space="preserve">„Es wird bestritten, dass die Messgeräte den Anforderungen des § 5 HeizkostenV an die Fernablesbarkeit genügen. Soweit bereits fernablesbare Geräte installiert sind oder waren, wird bestritten, dass die nach § 6a HeizkostenV geschuldeten monatlichen Verbrauchsinformationen erteilt wurden. Der Beklagte macht daher vorsorglich das Kürzungsrecht nach § 12 Abs. 1 Satz 3 HeizkostenV in Höhe von 3 % des jeweiligen Heiz- und Warmwasserkostenanteils geltend. Eine höchstrichterliche Einschränkung dieses gesetzlichen Kürzungsrechts ist nicht ersichtlich.“</w:t>
      </w:r>
    </w:p>
    <w:p>
      <w:pPr>
        <w:pStyle w:val="Heading1"/>
      </w:pPr>
      <w:r>
        <w:t xml:space="preserve">6. Aufforderung zur Belegeinsicht</w:t>
      </w:r>
    </w:p>
    <w:p>
      <w:pPr>
        <w:spacing w:after="60"/>
      </w:pPr>
      <w:r>
        <w:rPr>
          <w:sz w:val="17"/>
          <w:szCs w:val="17"/>
        </w:rPr>
        <w:t xml:space="preserve">Frist: 14 Tage. Verlangt werden u. a. Hauswartvertrag mit Aufschlüsselung, Fernwärme-Rechnungen, Ableseprotokolle, Gerätebestandsliste (Fernablesbarkeit/Interoperabilität/SMGW), Nachweis der Verbrauchsinformationen nach § 6a, Versicherungspolicen, CO₂- und Rauchwarnmelder-Unterlagen, Zustellnachweise.</w:t>
      </w:r>
    </w:p>
    <w:p>
      <w:pPr>
        <w:spacing w:after="120"/>
      </w:pPr>
      <w:r>
        <w:rPr>
          <w:i/>
          <w:iCs/>
          <w:sz w:val="16"/>
          <w:szCs w:val="16"/>
        </w:rPr>
        <w:t xml:space="preserve">Vollständiger Text siehe frühere Fassung; bei Bedarf wörtlich in den Schriftsatz übernehmen.</w:t>
      </w:r>
    </w:p>
    <w:p>
      <w:pPr>
        <w:pStyle w:val="Heading1"/>
      </w:pPr>
      <w:r>
        <w:t xml:space="preserve">7. Kombinierte Formulierung für die Klageerwiderung</w:t>
      </w:r>
    </w:p>
    <w:p>
      <w:pPr>
        <w:spacing w:after="70"/>
      </w:pPr>
      <w:r>
        <w:rPr>
          <w:sz w:val="17"/>
          <w:szCs w:val="17"/>
        </w:rPr>
        <w:t xml:space="preserve">Die Hauswartkosten der Jahre 2009 bis 2024 werden der Höhe und dem Grunde nach bestritten. Der Klägerin ist es nicht gelungen, die Kosten nachvollziehbar in umlagefähige und nicht umlagefähige Anteile aufzuschlüsseln (BGH, Urt. v. 20.02.2008 – VIII ZR 27/07). Hilfsweise wird eine Kürzung von 30 % geltend gemacht.</w:t>
      </w:r>
    </w:p>
    <w:p>
      <w:pPr>
        <w:spacing w:after="70"/>
      </w:pPr>
      <w:r>
        <w:rPr>
          <w:sz w:val="17"/>
          <w:szCs w:val="17"/>
        </w:rPr>
        <w:t xml:space="preserve">Gleichzeitig wird das Kürzungsrecht nach § 12 Abs. 1 Satz 1 HeizkostenV für das Jahr 2010 in Höhe von 15 % (154,61 €) geltend gemacht, da der Verbrauch unzulässig geschätzt wurde (§ 9a HeizkostenV).</w:t>
      </w:r>
    </w:p>
    <w:p>
      <w:pPr>
        <w:spacing w:after="70"/>
      </w:pPr>
      <w:r>
        <w:rPr>
          <w:sz w:val="17"/>
          <w:szCs w:val="17"/>
        </w:rPr>
        <w:t xml:space="preserve">Es wird bestritten, dass die Messgeräte den Anforderungen des § 5 HeizkostenV genügen und dass die Informationspflichten nach § 6a erfüllt wurden. Der Beklagte macht vorsorglich das 3-%-Kürzungsrecht nach § 12 Abs. 1 Satz 3 HeizkostenV geltend. Eine höchstrichterliche Einschränkung dieses Rechts ist nicht ersichtlich.</w:t>
      </w:r>
    </w:p>
    <w:p>
      <w:pPr>
        <w:spacing w:after="140"/>
      </w:pPr>
      <w:r>
        <w:rPr>
          <w:sz w:val="17"/>
          <w:szCs w:val="17"/>
        </w:rPr>
        <w:t xml:space="preserve">Die Guthaben 2023 (654,03 €) und 2024 (Netto 51,94 €) sind vollständig zu berücksichtigen. Bis zur Belegeinsicht und Nachbesserung bleiben die Abrechnungen unwirksam bzw. nicht fällig.</w:t>
      </w:r>
    </w:p>
    <w:p>
      <w:pPr>
        <w:pStyle w:val="Heading1"/>
      </w:pPr>
      <w:r>
        <w:t xml:space="preserve">8. Anträge</w:t>
      </w:r>
    </w:p>
    <w:p>
      <w:pPr>
        <w:pStyle w:val="ListParagraph"/>
        <w:numPr>
          <w:ilvl w:val="0"/>
          <w:numId w:val="4"/>
        </w:numPr>
      </w:pPr>
      <w:r>
        <w:t xml:space="preserve">Die Klage abzuweisen.</w:t>
      </w:r>
    </w:p>
    <w:p>
      <w:pPr>
        <w:pStyle w:val="ListParagraph"/>
        <w:numPr>
          <w:ilvl w:val="0"/>
          <w:numId w:val="4"/>
        </w:numPr>
      </w:pPr>
      <w:r>
        <w:t xml:space="preserve">Festzustellen, dass dem Beklagten aus der Heizkostenabrechnung 2010 ein Kürzungsanspruch von 154,61 € zusteht.</w:t>
      </w:r>
    </w:p>
    <w:p>
      <w:pPr>
        <w:pStyle w:val="ListParagraph"/>
        <w:numPr>
          <w:ilvl w:val="0"/>
          <w:numId w:val="4"/>
        </w:numPr>
      </w:pPr>
      <w:r>
        <w:t xml:space="preserve">Festzustellen, dass die Hauswartkosten 2009–2024 mangels Aufschlüsselung nicht bzw. nur anteilig (höchstens 70 %) umlagefähig sind.</w:t>
      </w:r>
    </w:p>
    <w:p>
      <w:pPr>
        <w:pStyle w:val="ListParagraph"/>
        <w:numPr>
          <w:ilvl w:val="0"/>
          <w:numId w:val="4"/>
        </w:numPr>
      </w:pPr>
      <w:r>
        <w:t xml:space="preserve">Die Klägerin zu verurteilen, die sich aus Kürzungen und Guthaben ergebenden Beträge nebst Zinsen zu erstatten.</w:t>
      </w:r>
    </w:p>
    <w:p>
      <w:pPr>
        <w:pStyle w:val="ListParagraph"/>
        <w:numPr>
          <w:ilvl w:val="0"/>
          <w:numId w:val="4"/>
        </w:numPr>
        <w:spacing w:after="140"/>
      </w:pPr>
      <w:r>
        <w:t xml:space="preserve">Hilfsweise: Einholung eines Sachverständigengutachtens zu Heizkosten 2010, Hauswartkosten und baulichen Mängeln.</w:t>
      </w:r>
    </w:p>
    <w:p>
      <w:pPr>
        <w:pStyle w:val="Heading1"/>
      </w:pPr>
      <w:r>
        <w:t xml:space="preserve">9. Mietminderung und Messprotokolle</w:t>
      </w:r>
    </w:p>
    <w:p>
      <w:pPr>
        <w:spacing w:after="80"/>
      </w:pPr>
      <w:r>
        <w:rPr>
          <w:sz w:val="17"/>
          <w:szCs w:val="17"/>
        </w:rPr>
        <w:t xml:space="preserve">Die anerkannten und fortgesetzten Mietminderungen (zeitweise bis 50 %, später ca. 160 € monatlich) sind gerechtfertigt. Anlage A 4 (Messprotokoll) belegt Taupunktunterschreitungen und Wärmebrücken; Anlage A 5 dokumentiert die Mangelanzeigen seit 2018. Die Minderungen sind bei der Rückstandsberechnung vollständig abzuziehen.</w:t>
      </w:r>
    </w:p>
    <w:p>
      <w:pPr>
        <w:spacing w:before="200"/>
        <w:jc w:val="center"/>
      </w:pPr>
      <w:r>
        <w:rPr>
          <w:i/>
          <w:iCs/>
          <w:color w:val="666666"/>
          <w:sz w:val="15"/>
          <w:szCs w:val="15"/>
        </w:rPr>
        <w:t xml:space="preserve">— Ende der Sammelmappe (Stand September 2026) —</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4"/>
        <w:szCs w:val="14"/>
      </w:rPr>
      <w:t xml:space="preserve">Seite </w:t>
    </w:r>
    <w:r>
      <w:rPr>
        <w:rFonts w:ascii="Arial" w:cs="Arial" w:eastAsia="Arial" w:hAnsi="Arial"/>
        <w:sz w:val="14"/>
        <w:szCs w:val="14"/>
      </w:rPr>
      <w:fldChar w:fldCharType="begin"/>
      <w:instrText xml:space="preserve">PAGE</w:instrText>
      <w:fldChar w:fldCharType="separate"/>
      <w:fldChar w:fldCharType="end"/>
    </w:r>
    <w:r>
      <w:rPr>
        <w:rFonts w:ascii="Arial" w:cs="Arial" w:eastAsia="Arial" w:hAnsi="Arial"/>
        <w:sz w:val="14"/>
        <w:szCs w:val="14"/>
      </w:rPr>
      <w:t xml:space="preserve"> / </w:t>
    </w:r>
    <w:r>
      <w:rPr>
        <w:rFonts w:ascii="Arial" w:cs="Arial" w:eastAsia="Arial" w:hAnsi="Arial"/>
        <w:sz w:val="14"/>
        <w:szCs w:val="14"/>
      </w:rPr>
      <w:fldChar w:fldCharType="begin"/>
      <w:instrText xml:space="preserve">NUMPAGES</w:instrText>
      <w:fldChar w:fldCharType="separate"/>
      <w:fldChar w:fldCharType="end"/>
    </w:r>
    <w:r>
      <w:rPr>
        <w:rFonts w:ascii="Arial" w:cs="Arial" w:eastAsia="Arial" w:hAnsi="Arial"/>
        <w:color w:val="666666"/>
        <w:sz w:val="14"/>
        <w:szCs w:val="14"/>
      </w:rPr>
      <w:t xml:space="preserve">   |   Vertraulich – AG Berlin-Kreuzberg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color w:val="666666"/>
        <w:sz w:val="14"/>
        <w:szCs w:val="14"/>
      </w:rPr>
      <w:t xml:space="preserve">Sammelmappe Verteidigung &amp; Widerklage  |  Andreas Rainer Schade  |  Gubener Str. 53a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6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2026-09-04T17:39:45.401Z</dcterms:created>
  <dcterms:modified xsi:type="dcterms:W3CDTF">2026-09-04T17:39:45.401Z</dcterms:modified>
</cp:coreProperties>
</file>

<file path=docProps/custom.xml><?xml version="1.0" encoding="utf-8"?>
<Properties xmlns="http://schemas.openxmlformats.org/officeDocument/2006/custom-properties" xmlns:vt="http://schemas.openxmlformats.org/officeDocument/2006/docPropsVTypes"/>
</file>