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3C174" w14:textId="77777777" w:rsidR="00D91898" w:rsidRDefault="00000000">
      <w:pPr>
        <w:pStyle w:val="berschrift2"/>
      </w:pPr>
      <w:r>
        <w:t>Teil B: Zusammenfassung des Falls</w:t>
      </w:r>
    </w:p>
    <w:p w14:paraId="4B51593E" w14:textId="77777777" w:rsidR="00D91898" w:rsidRDefault="00D91898"/>
    <w:p w14:paraId="0AD97672" w14:textId="77777777" w:rsidR="00D91898" w:rsidRDefault="00000000">
      <w:pPr>
        <w:pStyle w:val="berschrift3"/>
      </w:pPr>
      <w:r>
        <w:t>1. Parteien und Streitgegenstand</w:t>
      </w:r>
    </w:p>
    <w:p w14:paraId="53A19B80" w14:textId="77777777" w:rsidR="00D91898" w:rsidRDefault="00000000">
      <w:r>
        <w:t>Klägerin ist die White Tulip S.à r.l. (Luxemburg), verwaltet durch die RESIDEA Immobilien Management GmbH, Berlin. Beklagter und Widerkläger ist Andreas Rainer Schade, Mieter seit 01.07.2009 einer 58,44 m² großen Wohnung in der Gubener Straße 53a, 4. OG links, Berlin. Die Klägerin begehrt Räumung und Zahlung wegen behaupteten Zahlungsverzugs (zuletzt beziffert mit 2.230,66 € bzw. an anderer Stelle 3.103,32 €). Der Beklagte ist seit dem 24.06.2026 – nach der zweiten Mandatsniederlegung im Verfahren – unvertreten und verteidigt sich derzeit selbst, wobei er Widerklage auf Instandsetzung, Rückzahlung überhöhter Warmwasserkosten und Schadensersatz erhebt.</w:t>
      </w:r>
    </w:p>
    <w:p w14:paraId="79D75E27" w14:textId="77777777" w:rsidR="00D91898" w:rsidRDefault="00D91898"/>
    <w:p w14:paraId="56440A82" w14:textId="77777777" w:rsidR="00D91898" w:rsidRDefault="00000000">
      <w:pPr>
        <w:pStyle w:val="berschrift3"/>
      </w:pPr>
      <w:r>
        <w:t>2. Prozessgeschichte</w:t>
      </w:r>
    </w:p>
    <w:p w14:paraId="0B53FF50" w14:textId="77777777" w:rsidR="00D91898" w:rsidRDefault="00000000">
      <w:r>
        <w:t>Bereits im Februar 2026 kam es zu einer ersten Mandatsniederlegung "zur Unzeit" (RA Lehmann), die das Gericht selbst so bezeichnete. Termine wurden mehrfach verlegt (04.05.2026 → 06.07.2026); der Ausgang der Verhandlung vom 06.07.2026 ist nicht dokumentiert. Am 24.06.2026 legten auch die nachfolgenden Anwälte (Tüxen &amp; Röwert-Arndt) das Mandat nieder, ohne den Beklagten nachweislich zu informieren. Zwischen gerichtlichen Fristsetzungen und deren Weiterleitung an den Mandanten lagen wiederholt nur wenige Tage der ursprünglich zwei Wochen. Ein möglicher Folgetermin am 28.09.2026 ist dem Beklagten nur ohne förmliche Ladung bekannt. Diese Kette prozessualer Pannen begründet erhebliches Potenzial für Wiedereinsetzungsanträge und rügt die Wahrung rechtlichen Gehörs.</w:t>
      </w:r>
    </w:p>
    <w:p w14:paraId="30764AA0" w14:textId="77777777" w:rsidR="00D91898" w:rsidRDefault="00D91898"/>
    <w:p w14:paraId="45199632" w14:textId="77777777" w:rsidR="00D91898" w:rsidRDefault="00000000">
      <w:pPr>
        <w:pStyle w:val="berschrift3"/>
      </w:pPr>
      <w:r>
        <w:t>3. Materielle Ansprüche</w:t>
      </w:r>
    </w:p>
    <w:p w14:paraId="01A3CD3E" w14:textId="77777777" w:rsidR="00D91898" w:rsidRDefault="00000000">
      <w:r>
        <w:t xml:space="preserve">• </w:t>
      </w:r>
      <w:r>
        <w:rPr>
          <w:b/>
        </w:rPr>
        <w:t>Mietminderung</w:t>
      </w:r>
      <w:r>
        <w:t xml:space="preserve"> (§ 536 BGB): netto 18.336,38 € für 02/2017–07/2026, gestützt auf neun Phasen unterschiedlicher Mängelintensität.</w:t>
      </w:r>
    </w:p>
    <w:p w14:paraId="0405652C" w14:textId="77777777" w:rsidR="00D91898" w:rsidRDefault="00000000">
      <w:r>
        <w:t xml:space="preserve">• </w:t>
      </w:r>
      <w:r>
        <w:rPr>
          <w:b/>
        </w:rPr>
        <w:t>Schadensersatz/Aufwendungsersatz</w:t>
      </w:r>
      <w:r>
        <w:t xml:space="preserve"> (§ 536a BGB): fest beziffert 6.070,10 € (Strommehrkosten Ersatzheizung, Heizgeräte, Messgeräte, Schimmelabwehr, Postfach, Dokumentation), zzgl. Eigenleistungsaufwand (3.947,75 €) und SHK-Ersatzteile (198,18 €) als gesondert geführte Positionen – Gesamtschadensaufrechnung aktuell 12.521,78 €.</w:t>
      </w:r>
    </w:p>
    <w:p w14:paraId="5E06EB73" w14:textId="77777777" w:rsidR="00D91898" w:rsidRDefault="00000000">
      <w:r>
        <w:t xml:space="preserve">• </w:t>
      </w:r>
      <w:r>
        <w:rPr>
          <w:b/>
        </w:rPr>
        <w:t>Bereicherungsrecht</w:t>
      </w:r>
      <w:r>
        <w:t xml:space="preserve"> (§ 812 BGB): Rückforderung Warmwasserkosten 2024 in Höhe von 1.142,00 € sowie Betriebskostenguthaben 2022–2024 (942,77 € bzw. 1.534,25 € – hier besteht eine noch aufzuklärende Diskrepanz zwischen zwei Berechnungsdokumenten der Akte).</w:t>
      </w:r>
    </w:p>
    <w:p w14:paraId="4A839564" w14:textId="77777777" w:rsidR="00D91898" w:rsidRDefault="00000000">
      <w:r>
        <w:t xml:space="preserve">• </w:t>
      </w:r>
      <w:r>
        <w:rPr>
          <w:b/>
        </w:rPr>
        <w:t>Heizkostenkürzungsrecht</w:t>
      </w:r>
      <w:r>
        <w:t xml:space="preserve"> (§ 12 HeizkostenV): 15 % wegen fehlender Nennung des Messdienstleisters ab 2023.</w:t>
      </w:r>
    </w:p>
    <w:p w14:paraId="35070C86" w14:textId="77777777" w:rsidR="00D91898" w:rsidRDefault="00D91898"/>
    <w:p w14:paraId="6A78396F" w14:textId="77777777" w:rsidR="00D91898" w:rsidRDefault="00000000">
      <w:r>
        <w:lastRenderedPageBreak/>
        <w:t>Nach Verrechnung mit dem behaupteten Rückstand ergibt sich rechnerisch kein Zahlungsverzug, sondern ein Guthaben zugunsten des Beklagten – dies ist die zentrale Verteidigungslinie gegen die Räumungsklage.</w:t>
      </w:r>
    </w:p>
    <w:p w14:paraId="21403F7A" w14:textId="77777777" w:rsidR="00D91898" w:rsidRDefault="00D91898"/>
    <w:p w14:paraId="38CFF13B" w14:textId="77777777" w:rsidR="00D91898" w:rsidRDefault="00000000">
      <w:pPr>
        <w:pStyle w:val="berschrift3"/>
      </w:pPr>
      <w:r>
        <w:t>4. Aktuelle Dringlichkeit</w:t>
      </w:r>
    </w:p>
    <w:p w14:paraId="1C6629F8" w14:textId="77777777" w:rsidR="00D91898" w:rsidRDefault="00000000">
      <w:r>
        <w:t>Am 24.08.2026 ist eine Wartung der Heizungs-/Sanitäranlage durch TGA Deutschland GmbH angekündigt (10–16 Uhr, mit Heizungs-/Wassersperrung). Diese Maßnahme droht, die für den Manipulationsverdacht am Warmwasserzähler entscheidenden Beweismittel (Zählerzustand, Ventilstellung, Fließdruck) unwiederbringlich zu zerstören. Ein Sachverständigentermin vor dem 23.08.2026 sowie ein Eilantrag auf selbstständiges Beweisverfahren sind daher von höchster Priorität.</w:t>
      </w:r>
    </w:p>
    <w:p w14:paraId="1664D827" w14:textId="77777777" w:rsidR="00D91898" w:rsidRDefault="00D91898"/>
    <w:p w14:paraId="35C50777" w14:textId="77777777" w:rsidR="00D91898" w:rsidRDefault="00000000">
      <w:r>
        <w:t>────────────</w:t>
      </w:r>
    </w:p>
    <w:p w14:paraId="62BC3C04" w14:textId="77777777" w:rsidR="00D91898" w:rsidRDefault="00D91898"/>
    <w:p w14:paraId="6A5752D9" w14:textId="77777777" w:rsidR="00D91898" w:rsidRDefault="00000000">
      <w:pPr>
        <w:pStyle w:val="berschrift2"/>
      </w:pPr>
      <w:r>
        <w:t>Teil C: Actionplan</w:t>
      </w:r>
    </w:p>
    <w:p w14:paraId="3312302A" w14:textId="77777777" w:rsidR="00D91898" w:rsidRDefault="00D91898"/>
    <w:p w14:paraId="5BCE9339" w14:textId="77777777" w:rsidR="00D91898" w:rsidRDefault="00000000">
      <w:pPr>
        <w:pStyle w:val="berschrift3"/>
      </w:pPr>
      <w:r>
        <w:t>Sofortmaßnahmen (nächste 24–72 Stunden)</w:t>
      </w:r>
    </w:p>
    <w:p w14:paraId="1EF2D4FD" w14:textId="77777777" w:rsidR="00D91898" w:rsidRDefault="00000000">
      <w:r>
        <w:t xml:space="preserve">1. </w:t>
      </w:r>
      <w:r>
        <w:rPr>
          <w:b/>
        </w:rPr>
        <w:t>Sachverständigen beauftragen</w:t>
      </w:r>
      <w:r>
        <w:t xml:space="preserve"> (Heizungs-/Sanitärtechnik, Bauphysik) mit Termin spätestens 23.08.2026, hilfsweise 24.08.2026 vor 10 Uhr – Fokus: Zählerstation, Ventilstatus, Heizkörper-Oberflächentemperaturen, Trinkwasserprobe vor der Spülung.</w:t>
      </w:r>
    </w:p>
    <w:p w14:paraId="64E1BB3C" w14:textId="77777777" w:rsidR="00D91898" w:rsidRDefault="00000000">
      <w:r>
        <w:t xml:space="preserve">2. </w:t>
      </w:r>
      <w:r>
        <w:rPr>
          <w:b/>
        </w:rPr>
        <w:t>Eilantrag auf selbstständiges Beweisverfahren</w:t>
      </w:r>
      <w:r>
        <w:t xml:space="preserve"> (§§ 485 ff. ZPO) beim AG Kreuzberg einreichen, verbunden mit einer ausdrücklichen Rüge drohender Beweisvereitelung (§ 444 ZPO analog) gegenüber RESIDEA/TGA.</w:t>
      </w:r>
    </w:p>
    <w:p w14:paraId="42D8D805" w14:textId="77777777" w:rsidR="00D91898" w:rsidRDefault="00000000">
      <w:r>
        <w:t xml:space="preserve">3. </w:t>
      </w:r>
      <w:r>
        <w:rPr>
          <w:b/>
        </w:rPr>
        <w:t>Verfahrensstand beim AG Kreuzberg</w:t>
      </w:r>
      <w:r>
        <w:t xml:space="preserve"> telefonisch und schriftlich klären (Ausgang Termin 06.07.2026, Status Ladung 28.09.2026), da aktuell keine gesicherte Kenntnis über den prozessualen Stand besteht.</w:t>
      </w:r>
    </w:p>
    <w:p w14:paraId="13E40EE3" w14:textId="77777777" w:rsidR="00D91898" w:rsidRDefault="00000000">
      <w:r>
        <w:t xml:space="preserve">4. </w:t>
      </w:r>
      <w:r>
        <w:rPr>
          <w:b/>
        </w:rPr>
        <w:t>Akteneinsicht</w:t>
      </w:r>
      <w:r>
        <w:t xml:space="preserve"> (§ 299 ZPO) beantragen sowie </w:t>
      </w:r>
      <w:r>
        <w:rPr>
          <w:b/>
        </w:rPr>
        <w:t>Herausgabe der vollständigen Handakte</w:t>
      </w:r>
      <w:r>
        <w:t xml:space="preserve"> von den vormaligen Prozessbevollmächtigten (Tüxen &amp; Röwert-Arndt) fordern.</w:t>
      </w:r>
    </w:p>
    <w:p w14:paraId="2F1BD07D" w14:textId="77777777" w:rsidR="00D91898" w:rsidRDefault="00000000">
      <w:r>
        <w:t xml:space="preserve">5. </w:t>
      </w:r>
      <w:r>
        <w:rPr>
          <w:b/>
        </w:rPr>
        <w:t>Neue anwaltliche Vertretung</w:t>
      </w:r>
      <w:r>
        <w:t xml:space="preserve"> organisieren, da der Beklagte seit 24.06.2026 unvertreten ist und die Fristenlage hochkomplex ist.</w:t>
      </w:r>
    </w:p>
    <w:p w14:paraId="591A23D3" w14:textId="77777777" w:rsidR="00D91898" w:rsidRDefault="00D91898"/>
    <w:p w14:paraId="5ADD3C61" w14:textId="77777777" w:rsidR="00D91898" w:rsidRDefault="00000000">
      <w:pPr>
        <w:pStyle w:val="berschrift3"/>
      </w:pPr>
      <w:r>
        <w:t>Kurzfristige Maßnahmen (1–2 Wochen)</w:t>
      </w:r>
    </w:p>
    <w:p w14:paraId="74623033" w14:textId="77777777" w:rsidR="00D91898" w:rsidRDefault="00000000">
      <w:r>
        <w:t xml:space="preserve">1. Klärung der </w:t>
      </w:r>
      <w:r>
        <w:rPr>
          <w:b/>
        </w:rPr>
        <w:t>Aktivlegitimation der Klägerin</w:t>
      </w:r>
      <w:r>
        <w:t xml:space="preserve"> (Nachweis Eigentumsübergang von der im Mietvertrag genannten Vermieterin auf White Tulip S.à r.l., Handelsregisterauszug Luxemburg, Vertretungsmacht RESIDEA).</w:t>
      </w:r>
    </w:p>
    <w:p w14:paraId="75E001FF" w14:textId="77777777" w:rsidR="00D91898" w:rsidRDefault="00000000">
      <w:r>
        <w:lastRenderedPageBreak/>
        <w:t xml:space="preserve">2. </w:t>
      </w:r>
      <w:r>
        <w:rPr>
          <w:b/>
        </w:rPr>
        <w:t>Vorlageantrag</w:t>
      </w:r>
      <w:r>
        <w:t xml:space="preserve"> gegen die Klägerin auf vollständige, monatsgenaue Mietkontoauszüge seit Mietbeginn (zentrale Lücke BK-5) sowie auf Wartungs-/Reparaturprotokolle und die hydraulische Berechnung der Strangsanierung 2020.</w:t>
      </w:r>
    </w:p>
    <w:p w14:paraId="2DB97C03" w14:textId="77777777" w:rsidR="00D91898" w:rsidRDefault="00000000">
      <w:r>
        <w:t xml:space="preserve">3. </w:t>
      </w:r>
      <w:r>
        <w:rPr>
          <w:b/>
        </w:rPr>
        <w:t>Widerspruch zur Betriebs-/Heizkostenabrechnung 2023/2024</w:t>
      </w:r>
      <w:r>
        <w:t xml:space="preserve"> unter Verweis auf Verteilerschlüsselwechsel und fehlende Messdienstnennung förmlich erheben; Geltendmachung des 15%-Kürzungsrechts.</w:t>
      </w:r>
    </w:p>
    <w:p w14:paraId="3FD759FA" w14:textId="77777777" w:rsidR="00D91898" w:rsidRDefault="00000000">
      <w:r>
        <w:t xml:space="preserve">4. </w:t>
      </w:r>
      <w:r>
        <w:rPr>
          <w:b/>
        </w:rPr>
        <w:t>Prüfung eines Wiedereinsetzungsantrags</w:t>
      </w:r>
      <w:r>
        <w:t xml:space="preserve"> wegen der doppelten Mandatsniederlegung und des Todesfalls (Großvater, † 02.08.2026) als möglichem Entschuldigungsgrund für Fristversäumnisse.</w:t>
      </w:r>
    </w:p>
    <w:p w14:paraId="43A3B253" w14:textId="77777777" w:rsidR="00D91898" w:rsidRDefault="00000000">
      <w:r>
        <w:t>5. Klärung der Diskrepanz zwischen den beiden Betriebskosten-Guthabenberechnungen (942,77 € vs. 1.534,25 €) zur Herstellung einer widerspruchsfreien Zahlenbasis für den Schriftsatz.</w:t>
      </w:r>
    </w:p>
    <w:p w14:paraId="79FCE035" w14:textId="77777777" w:rsidR="00D91898" w:rsidRDefault="00D91898"/>
    <w:p w14:paraId="75324B16" w14:textId="77777777" w:rsidR="00D91898" w:rsidRDefault="00000000">
      <w:pPr>
        <w:pStyle w:val="berschrift3"/>
      </w:pPr>
      <w:r>
        <w:t>Mittelfristige Prozessstrategie</w:t>
      </w:r>
    </w:p>
    <w:p w14:paraId="25777252" w14:textId="77777777" w:rsidR="00D91898" w:rsidRDefault="00000000">
      <w:r>
        <w:t xml:space="preserve">1. </w:t>
      </w:r>
      <w:r>
        <w:rPr>
          <w:b/>
        </w:rPr>
        <w:t>Klageerwiderung/Widerklage</w:t>
      </w:r>
      <w:r>
        <w:t xml:space="preserve"> in der bereits vorbereiteten strukturierten Form (Dokument A/B/F) einreichen, mit klarer Trennung von unstreitigem Sachverhalt, Parteivortrag und Beweisantritten.</w:t>
      </w:r>
    </w:p>
    <w:p w14:paraId="726979D8" w14:textId="77777777" w:rsidR="00D91898" w:rsidRDefault="00000000">
      <w:r>
        <w:t xml:space="preserve">2. </w:t>
      </w:r>
      <w:r>
        <w:rPr>
          <w:b/>
        </w:rPr>
        <w:t>Beweisanträge</w:t>
      </w:r>
      <w:r>
        <w:t xml:space="preserve"> auf Zeugenvernehmung (Hausmeister Mutschall, RESIDEA-Mitarbeiter Genrich/Fritzen/Janicke/Sadler, Ölschläger, Nachbarn) und Einholung gerichtlicher Sachverständigengutachten zu Heizungstechnik und Bauphysik stellen; Verwertung des Gutachtens Otto Richter (§ 411a ZPO) beantragen.</w:t>
      </w:r>
    </w:p>
    <w:p w14:paraId="53744D4D" w14:textId="77777777" w:rsidR="00D91898" w:rsidRDefault="00000000">
      <w:r>
        <w:t xml:space="preserve">3. Prüfung einer </w:t>
      </w:r>
      <w:r>
        <w:rPr>
          <w:b/>
        </w:rPr>
        <w:t>Beschwerde bei der Rechtsanwaltskammer</w:t>
      </w:r>
      <w:r>
        <w:t xml:space="preserve"> wegen der zweiten Mandatsniederlegung ohne Information des Mandanten.</w:t>
      </w:r>
    </w:p>
    <w:p w14:paraId="2FC66A4D" w14:textId="77777777" w:rsidR="00D91898" w:rsidRDefault="00000000">
      <w:r>
        <w:t xml:space="preserve">4. Sicherung der </w:t>
      </w:r>
      <w:r>
        <w:rPr>
          <w:b/>
        </w:rPr>
        <w:t>Postzugangssituation</w:t>
      </w:r>
      <w:r>
        <w:t xml:space="preserve"> durch konsequente Nutzung des neu eingerichteten Postfachs und Mitteilung an alle Verfahrensbeteiligten.</w:t>
      </w:r>
    </w:p>
    <w:p w14:paraId="69E8D1F4" w14:textId="77777777" w:rsidR="00D91898" w:rsidRDefault="00000000">
      <w:r>
        <w:t xml:space="preserve">5. Abwägung, ob eine </w:t>
      </w:r>
      <w:r>
        <w:rPr>
          <w:b/>
        </w:rPr>
        <w:t>Vergleichsbereitschaft</w:t>
      </w:r>
      <w:r>
        <w:t xml:space="preserve"> (z. B. Anerkennung eines Teils der Mietminderung gegen Verzicht auf Räumung) sinnvoll ist – angesichts der bereits zweimal erfolgten eigenen Anerkenntnisse der Klägerseite erscheint eine gerichtliche Klärung für den Beklagten eher vorteilhaft, ein Vergleich sollte daher nur bei voller Wahrung der Mietminderungssumme erwogen werden.</w:t>
      </w:r>
    </w:p>
    <w:p w14:paraId="23CB7082" w14:textId="77777777" w:rsidR="00D91898" w:rsidRDefault="00D91898"/>
    <w:p w14:paraId="4EA7F029" w14:textId="77777777" w:rsidR="00D91898" w:rsidRDefault="00000000">
      <w:pPr>
        <w:pStyle w:val="berschrift3"/>
      </w:pPr>
      <w:r>
        <w:t>Priorisierte To-do-Liste</w:t>
      </w:r>
    </w:p>
    <w:p w14:paraId="1BB532EF" w14:textId="77777777" w:rsidR="00D91898" w:rsidRDefault="00D91898"/>
    <w:tbl>
      <w:tblPr>
        <w:tblW w:w="0" w:type="auto"/>
        <w:tblInd w:w="10" w:type="dxa"/>
        <w:tblCellMar>
          <w:left w:w="10" w:type="dxa"/>
          <w:right w:w="10" w:type="dxa"/>
        </w:tblCellMar>
        <w:tblLook w:val="0000" w:firstRow="0" w:lastRow="0" w:firstColumn="0" w:lastColumn="0" w:noHBand="0" w:noVBand="0"/>
      </w:tblPr>
      <w:tblGrid>
        <w:gridCol w:w="781"/>
        <w:gridCol w:w="3927"/>
        <w:gridCol w:w="2346"/>
        <w:gridCol w:w="2316"/>
      </w:tblGrid>
      <w:tr w:rsidR="00D91898" w14:paraId="6890EBE3" w14:textId="77777777">
        <w:tblPrEx>
          <w:tblCellMar>
            <w:top w:w="0" w:type="dxa"/>
            <w:bottom w:w="0" w:type="dxa"/>
          </w:tblCellMar>
        </w:tblPrEx>
        <w:tc>
          <w:tcPr>
            <w:tcW w:w="0" w:type="auto"/>
          </w:tcPr>
          <w:p w14:paraId="116FACBB" w14:textId="77777777" w:rsidR="00D91898" w:rsidRDefault="00000000">
            <w:r>
              <w:rPr>
                <w:b/>
              </w:rPr>
              <w:t>Priorität</w:t>
            </w:r>
          </w:p>
        </w:tc>
        <w:tc>
          <w:tcPr>
            <w:tcW w:w="0" w:type="auto"/>
          </w:tcPr>
          <w:p w14:paraId="0442345D" w14:textId="77777777" w:rsidR="00D91898" w:rsidRDefault="00000000">
            <w:r>
              <w:rPr>
                <w:b/>
              </w:rPr>
              <w:t>Maßnahme</w:t>
            </w:r>
          </w:p>
        </w:tc>
        <w:tc>
          <w:tcPr>
            <w:tcW w:w="0" w:type="auto"/>
          </w:tcPr>
          <w:p w14:paraId="7ADF90A0" w14:textId="77777777" w:rsidR="00D91898" w:rsidRDefault="00000000">
            <w:r>
              <w:rPr>
                <w:b/>
              </w:rPr>
              <w:t>Begründung</w:t>
            </w:r>
          </w:p>
        </w:tc>
        <w:tc>
          <w:tcPr>
            <w:tcW w:w="0" w:type="auto"/>
          </w:tcPr>
          <w:p w14:paraId="6DBC36D8" w14:textId="77777777" w:rsidR="00D91898" w:rsidRDefault="00000000">
            <w:r>
              <w:rPr>
                <w:b/>
              </w:rPr>
              <w:t>Frist</w:t>
            </w:r>
          </w:p>
        </w:tc>
      </w:tr>
      <w:tr w:rsidR="00D91898" w14:paraId="3B327C91" w14:textId="77777777">
        <w:tblPrEx>
          <w:tblCellMar>
            <w:top w:w="0" w:type="dxa"/>
            <w:bottom w:w="0" w:type="dxa"/>
          </w:tblCellMar>
        </w:tblPrEx>
        <w:tc>
          <w:tcPr>
            <w:tcW w:w="0" w:type="auto"/>
          </w:tcPr>
          <w:p w14:paraId="1AB64134" w14:textId="77777777" w:rsidR="00D91898" w:rsidRDefault="00000000">
            <w:r>
              <w:t>Hoch</w:t>
            </w:r>
          </w:p>
        </w:tc>
        <w:tc>
          <w:tcPr>
            <w:tcW w:w="0" w:type="auto"/>
          </w:tcPr>
          <w:p w14:paraId="5CF02448" w14:textId="77777777" w:rsidR="00D91898" w:rsidRDefault="00000000">
            <w:r>
              <w:t>Sachverständiger vor Ort</w:t>
            </w:r>
          </w:p>
        </w:tc>
        <w:tc>
          <w:tcPr>
            <w:tcW w:w="0" w:type="auto"/>
          </w:tcPr>
          <w:p w14:paraId="03ACC76F" w14:textId="77777777" w:rsidR="00D91898" w:rsidRDefault="00000000">
            <w:r>
              <w:t>Beweisvernichtung durch Wartung droht</w:t>
            </w:r>
          </w:p>
        </w:tc>
        <w:tc>
          <w:tcPr>
            <w:tcW w:w="0" w:type="auto"/>
          </w:tcPr>
          <w:p w14:paraId="166BA8AC" w14:textId="77777777" w:rsidR="00D91898" w:rsidRDefault="00000000">
            <w:r>
              <w:t>bis 23.08.2026</w:t>
            </w:r>
          </w:p>
        </w:tc>
      </w:tr>
      <w:tr w:rsidR="00D91898" w14:paraId="31001C7C" w14:textId="77777777">
        <w:tblPrEx>
          <w:tblCellMar>
            <w:top w:w="0" w:type="dxa"/>
            <w:bottom w:w="0" w:type="dxa"/>
          </w:tblCellMar>
        </w:tblPrEx>
        <w:tc>
          <w:tcPr>
            <w:tcW w:w="0" w:type="auto"/>
          </w:tcPr>
          <w:p w14:paraId="1AE1955A" w14:textId="77777777" w:rsidR="00D91898" w:rsidRDefault="00000000">
            <w:r>
              <w:lastRenderedPageBreak/>
              <w:t>Hoch</w:t>
            </w:r>
          </w:p>
        </w:tc>
        <w:tc>
          <w:tcPr>
            <w:tcW w:w="0" w:type="auto"/>
          </w:tcPr>
          <w:p w14:paraId="5B2B6CE5" w14:textId="77777777" w:rsidR="00D91898" w:rsidRDefault="00000000">
            <w:r>
              <w:t>Eilantrag selbstständiges Beweisverfahren</w:t>
            </w:r>
          </w:p>
        </w:tc>
        <w:tc>
          <w:tcPr>
            <w:tcW w:w="0" w:type="auto"/>
          </w:tcPr>
          <w:p w14:paraId="2BFD66CF" w14:textId="77777777" w:rsidR="00D91898" w:rsidRDefault="00000000">
            <w:r>
              <w:t>Sicherung gerichtsfester Beweise</w:t>
            </w:r>
          </w:p>
        </w:tc>
        <w:tc>
          <w:tcPr>
            <w:tcW w:w="0" w:type="auto"/>
          </w:tcPr>
          <w:p w14:paraId="335DCFF8" w14:textId="77777777" w:rsidR="00D91898" w:rsidRDefault="00000000">
            <w:r>
              <w:t>bis 21.08.2026</w:t>
            </w:r>
          </w:p>
        </w:tc>
      </w:tr>
      <w:tr w:rsidR="00D91898" w14:paraId="1356124C" w14:textId="77777777">
        <w:tblPrEx>
          <w:tblCellMar>
            <w:top w:w="0" w:type="dxa"/>
            <w:bottom w:w="0" w:type="dxa"/>
          </w:tblCellMar>
        </w:tblPrEx>
        <w:tc>
          <w:tcPr>
            <w:tcW w:w="0" w:type="auto"/>
          </w:tcPr>
          <w:p w14:paraId="6C518E25" w14:textId="77777777" w:rsidR="00D91898" w:rsidRDefault="00000000">
            <w:r>
              <w:t>Hoch</w:t>
            </w:r>
          </w:p>
        </w:tc>
        <w:tc>
          <w:tcPr>
            <w:tcW w:w="0" w:type="auto"/>
          </w:tcPr>
          <w:p w14:paraId="0FC71E20" w14:textId="77777777" w:rsidR="00D91898" w:rsidRDefault="00000000">
            <w:r>
              <w:t>Verfahrensstand AG Kreuzberg klären</w:t>
            </w:r>
          </w:p>
        </w:tc>
        <w:tc>
          <w:tcPr>
            <w:tcW w:w="0" w:type="auto"/>
          </w:tcPr>
          <w:p w14:paraId="64DB6EB1" w14:textId="77777777" w:rsidR="00D91898" w:rsidRDefault="00000000">
            <w:r>
              <w:t>Unklarheit über Ladung/Fristen</w:t>
            </w:r>
          </w:p>
        </w:tc>
        <w:tc>
          <w:tcPr>
            <w:tcW w:w="0" w:type="auto"/>
          </w:tcPr>
          <w:p w14:paraId="51325790" w14:textId="77777777" w:rsidR="00D91898" w:rsidRDefault="00000000">
            <w:r>
              <w:t>sofort</w:t>
            </w:r>
          </w:p>
        </w:tc>
      </w:tr>
      <w:tr w:rsidR="00D91898" w14:paraId="12F8F4B3" w14:textId="77777777">
        <w:tblPrEx>
          <w:tblCellMar>
            <w:top w:w="0" w:type="dxa"/>
            <w:bottom w:w="0" w:type="dxa"/>
          </w:tblCellMar>
        </w:tblPrEx>
        <w:tc>
          <w:tcPr>
            <w:tcW w:w="0" w:type="auto"/>
          </w:tcPr>
          <w:p w14:paraId="68089F0F" w14:textId="77777777" w:rsidR="00D91898" w:rsidRDefault="00000000">
            <w:r>
              <w:t>Hoch</w:t>
            </w:r>
          </w:p>
        </w:tc>
        <w:tc>
          <w:tcPr>
            <w:tcW w:w="0" w:type="auto"/>
          </w:tcPr>
          <w:p w14:paraId="2DCAFE28" w14:textId="77777777" w:rsidR="00D91898" w:rsidRDefault="00000000">
            <w:r>
              <w:t>Neue anwaltliche Vertretung</w:t>
            </w:r>
          </w:p>
        </w:tc>
        <w:tc>
          <w:tcPr>
            <w:tcW w:w="0" w:type="auto"/>
          </w:tcPr>
          <w:p w14:paraId="5F851A19" w14:textId="77777777" w:rsidR="00D91898" w:rsidRDefault="00000000">
            <w:r>
              <w:t>Fehlende Vertretung seit 24.06.2026</w:t>
            </w:r>
          </w:p>
        </w:tc>
        <w:tc>
          <w:tcPr>
            <w:tcW w:w="0" w:type="auto"/>
          </w:tcPr>
          <w:p w14:paraId="10471B8F" w14:textId="77777777" w:rsidR="00D91898" w:rsidRDefault="00000000">
            <w:r>
              <w:t>sofort</w:t>
            </w:r>
          </w:p>
        </w:tc>
      </w:tr>
      <w:tr w:rsidR="00D91898" w14:paraId="50CA4F5D" w14:textId="77777777">
        <w:tblPrEx>
          <w:tblCellMar>
            <w:top w:w="0" w:type="dxa"/>
            <w:bottom w:w="0" w:type="dxa"/>
          </w:tblCellMar>
        </w:tblPrEx>
        <w:tc>
          <w:tcPr>
            <w:tcW w:w="0" w:type="auto"/>
          </w:tcPr>
          <w:p w14:paraId="73D02FE5" w14:textId="77777777" w:rsidR="00D91898" w:rsidRDefault="00000000">
            <w:r>
              <w:t>Mittel</w:t>
            </w:r>
          </w:p>
        </w:tc>
        <w:tc>
          <w:tcPr>
            <w:tcW w:w="0" w:type="auto"/>
          </w:tcPr>
          <w:p w14:paraId="14CA5F3A" w14:textId="77777777" w:rsidR="00D91898" w:rsidRDefault="00000000">
            <w:r>
              <w:t>Vorlageantrag Mietkontoauszüge/Hydraulikberechnung</w:t>
            </w:r>
          </w:p>
        </w:tc>
        <w:tc>
          <w:tcPr>
            <w:tcW w:w="0" w:type="auto"/>
          </w:tcPr>
          <w:p w14:paraId="32B3F170" w14:textId="77777777" w:rsidR="00D91898" w:rsidRDefault="00000000">
            <w:r>
              <w:t>Schließt zentrale Beweislücken</w:t>
            </w:r>
          </w:p>
        </w:tc>
        <w:tc>
          <w:tcPr>
            <w:tcW w:w="0" w:type="auto"/>
          </w:tcPr>
          <w:p w14:paraId="3C422676" w14:textId="77777777" w:rsidR="00D91898" w:rsidRDefault="00000000">
            <w:r>
              <w:t>2 Wochen</w:t>
            </w:r>
          </w:p>
        </w:tc>
      </w:tr>
      <w:tr w:rsidR="00D91898" w14:paraId="5B81F3A1" w14:textId="77777777">
        <w:tblPrEx>
          <w:tblCellMar>
            <w:top w:w="0" w:type="dxa"/>
            <w:bottom w:w="0" w:type="dxa"/>
          </w:tblCellMar>
        </w:tblPrEx>
        <w:tc>
          <w:tcPr>
            <w:tcW w:w="0" w:type="auto"/>
          </w:tcPr>
          <w:p w14:paraId="7C537C19" w14:textId="77777777" w:rsidR="00D91898" w:rsidRDefault="00000000">
            <w:r>
              <w:t>Mittel</w:t>
            </w:r>
          </w:p>
        </w:tc>
        <w:tc>
          <w:tcPr>
            <w:tcW w:w="0" w:type="auto"/>
          </w:tcPr>
          <w:p w14:paraId="29CCB8B4" w14:textId="77777777" w:rsidR="00D91898" w:rsidRDefault="00000000">
            <w:r>
              <w:t>Widerspruch Betriebskostenabrechnung 2023/24</w:t>
            </w:r>
          </w:p>
        </w:tc>
        <w:tc>
          <w:tcPr>
            <w:tcW w:w="0" w:type="auto"/>
          </w:tcPr>
          <w:p w14:paraId="2DD6A157" w14:textId="77777777" w:rsidR="00D91898" w:rsidRDefault="00000000">
            <w:r>
              <w:t>Rechnerisch belegter Mehrbelastungsfehler</w:t>
            </w:r>
          </w:p>
        </w:tc>
        <w:tc>
          <w:tcPr>
            <w:tcW w:w="0" w:type="auto"/>
          </w:tcPr>
          <w:p w14:paraId="1DF8592E" w14:textId="77777777" w:rsidR="00D91898" w:rsidRDefault="00000000">
            <w:r>
              <w:t>2 Wochen</w:t>
            </w:r>
          </w:p>
        </w:tc>
      </w:tr>
      <w:tr w:rsidR="00D91898" w14:paraId="37CE4479" w14:textId="77777777">
        <w:tblPrEx>
          <w:tblCellMar>
            <w:top w:w="0" w:type="dxa"/>
            <w:bottom w:w="0" w:type="dxa"/>
          </w:tblCellMar>
        </w:tblPrEx>
        <w:tc>
          <w:tcPr>
            <w:tcW w:w="0" w:type="auto"/>
          </w:tcPr>
          <w:p w14:paraId="236C50FD" w14:textId="77777777" w:rsidR="00D91898" w:rsidRDefault="00000000">
            <w:r>
              <w:t>Mittel</w:t>
            </w:r>
          </w:p>
        </w:tc>
        <w:tc>
          <w:tcPr>
            <w:tcW w:w="0" w:type="auto"/>
          </w:tcPr>
          <w:p w14:paraId="0D6BCA29" w14:textId="77777777" w:rsidR="00D91898" w:rsidRDefault="00000000">
            <w:r>
              <w:t>Klärung Aktivlegitimation Klägerin</w:t>
            </w:r>
          </w:p>
        </w:tc>
        <w:tc>
          <w:tcPr>
            <w:tcW w:w="0" w:type="auto"/>
          </w:tcPr>
          <w:p w14:paraId="7B374EF9" w14:textId="77777777" w:rsidR="00D91898" w:rsidRDefault="00000000">
            <w:r>
              <w:t>Formale Angriffsfläche gegen Klage</w:t>
            </w:r>
          </w:p>
        </w:tc>
        <w:tc>
          <w:tcPr>
            <w:tcW w:w="0" w:type="auto"/>
          </w:tcPr>
          <w:p w14:paraId="13DD9C9F" w14:textId="77777777" w:rsidR="00D91898" w:rsidRDefault="00000000">
            <w:r>
              <w:t>2 Wochen</w:t>
            </w:r>
          </w:p>
        </w:tc>
      </w:tr>
      <w:tr w:rsidR="00D91898" w14:paraId="3F7EB6DA" w14:textId="77777777">
        <w:tblPrEx>
          <w:tblCellMar>
            <w:top w:w="0" w:type="dxa"/>
            <w:bottom w:w="0" w:type="dxa"/>
          </w:tblCellMar>
        </w:tblPrEx>
        <w:tc>
          <w:tcPr>
            <w:tcW w:w="0" w:type="auto"/>
          </w:tcPr>
          <w:p w14:paraId="7F259F15" w14:textId="77777777" w:rsidR="00D91898" w:rsidRDefault="00000000">
            <w:r>
              <w:t>Niedrig</w:t>
            </w:r>
          </w:p>
        </w:tc>
        <w:tc>
          <w:tcPr>
            <w:tcW w:w="0" w:type="auto"/>
          </w:tcPr>
          <w:p w14:paraId="6154F39F" w14:textId="77777777" w:rsidR="00D91898" w:rsidRDefault="00000000">
            <w:r>
              <w:t>Kammerbeschwerde vormalige Anwälte</w:t>
            </w:r>
          </w:p>
        </w:tc>
        <w:tc>
          <w:tcPr>
            <w:tcW w:w="0" w:type="auto"/>
          </w:tcPr>
          <w:p w14:paraId="1312F281" w14:textId="77777777" w:rsidR="00D91898" w:rsidRDefault="00000000">
            <w:r>
              <w:t>Sekundär, keine Fristbindung</w:t>
            </w:r>
          </w:p>
        </w:tc>
        <w:tc>
          <w:tcPr>
            <w:tcW w:w="0" w:type="auto"/>
          </w:tcPr>
          <w:p w14:paraId="58EE0D3D" w14:textId="77777777" w:rsidR="00D91898" w:rsidRDefault="00000000">
            <w:r>
              <w:t>offen</w:t>
            </w:r>
          </w:p>
        </w:tc>
      </w:tr>
      <w:tr w:rsidR="00D91898" w14:paraId="73894414" w14:textId="77777777">
        <w:tblPrEx>
          <w:tblCellMar>
            <w:top w:w="0" w:type="dxa"/>
            <w:bottom w:w="0" w:type="dxa"/>
          </w:tblCellMar>
        </w:tblPrEx>
        <w:tc>
          <w:tcPr>
            <w:tcW w:w="0" w:type="auto"/>
          </w:tcPr>
          <w:p w14:paraId="7B398CED" w14:textId="77777777" w:rsidR="00D91898" w:rsidRDefault="00000000">
            <w:r>
              <w:t>Niedrig</w:t>
            </w:r>
          </w:p>
        </w:tc>
        <w:tc>
          <w:tcPr>
            <w:tcW w:w="0" w:type="auto"/>
          </w:tcPr>
          <w:p w14:paraId="69E06817" w14:textId="77777777" w:rsidR="00D91898" w:rsidRDefault="00000000">
            <w:r>
              <w:t>Vergleichsprüfung</w:t>
            </w:r>
          </w:p>
        </w:tc>
        <w:tc>
          <w:tcPr>
            <w:tcW w:w="0" w:type="auto"/>
          </w:tcPr>
          <w:p w14:paraId="61062E45" w14:textId="77777777" w:rsidR="00D91898" w:rsidRDefault="00000000">
            <w:r>
              <w:t>Erst nach Beweissicherung sinnvoll</w:t>
            </w:r>
          </w:p>
        </w:tc>
        <w:tc>
          <w:tcPr>
            <w:tcW w:w="0" w:type="auto"/>
          </w:tcPr>
          <w:p w14:paraId="4529E6D5" w14:textId="77777777" w:rsidR="00D91898" w:rsidRDefault="00000000">
            <w:r>
              <w:t>nach Sachverständigenbericht</w:t>
            </w:r>
          </w:p>
        </w:tc>
      </w:tr>
    </w:tbl>
    <w:p w14:paraId="7405B723" w14:textId="77777777" w:rsidR="00D91898" w:rsidRDefault="00D91898"/>
    <w:p w14:paraId="1A4FADEE" w14:textId="77777777" w:rsidR="00D91898" w:rsidRDefault="00000000">
      <w:r>
        <w:t>Die Akte ist inhaltlich sehr detailliert und in weiten Teilen gut belegt, insbesondere durch das Sachverständigengutachten 2017 und die eigenen Anerkenntnisse der Verwaltung. Die größte Schwachstelle und zugleich der dringendste Handlungsbedarf liegt im ungeklärten Zählermanipulationsverdacht, dessen Beweisbarkeit unmittelbar von der rechtzeitigen Sachverständigenbegutachtung vor dem 24.08.2026 abhängt.</w:t>
      </w:r>
    </w:p>
    <w:sectPr w:rsidR="00D918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hideSpellingErrors/>
  <w:hideGrammaticalError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91898"/>
    <w:rsid w:val="003D28D9"/>
    <w:rsid w:val="00D91898"/>
    <w:rsid w:val="00E910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1C8EACB"/>
  <w15:docId w15:val="{1A1BC5BB-3F3F-6B40-A33F-F7070D54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0"/>
      <w:outlineLvl w:val="0"/>
    </w:pPr>
    <w:rPr>
      <w:rFonts w:ascii="Cambria" w:hAnsi="Cambria"/>
      <w:b/>
      <w:bCs/>
      <w:color w:val="0F4761" w:themeColor="accent1" w:themeShade="BF"/>
      <w:sz w:val="28"/>
      <w:szCs w:val="28"/>
    </w:rPr>
  </w:style>
  <w:style w:type="paragraph" w:styleId="berschrift2">
    <w:name w:val="heading 2"/>
    <w:basedOn w:val="Standard"/>
    <w:next w:val="Standard"/>
    <w:uiPriority w:val="9"/>
    <w:unhideWhenUsed/>
    <w:qFormat/>
    <w:pPr>
      <w:keepNext/>
      <w:keepLines/>
      <w:spacing w:before="200" w:after="0"/>
      <w:outlineLvl w:val="1"/>
    </w:pPr>
    <w:rPr>
      <w:rFonts w:ascii="Cambria" w:hAnsi="Cambria"/>
      <w:b/>
      <w:bCs/>
      <w:color w:val="156082" w:themeColor="accent1"/>
      <w:sz w:val="26"/>
      <w:szCs w:val="26"/>
    </w:rPr>
  </w:style>
  <w:style w:type="paragraph" w:styleId="berschrift3">
    <w:name w:val="heading 3"/>
    <w:basedOn w:val="Standard"/>
    <w:next w:val="Standard"/>
    <w:uiPriority w:val="9"/>
    <w:unhideWhenUsed/>
    <w:qFormat/>
    <w:pPr>
      <w:keepNext/>
      <w:keepLines/>
      <w:spacing w:before="200" w:after="0"/>
      <w:outlineLvl w:val="2"/>
    </w:pPr>
    <w:rPr>
      <w:rFonts w:ascii="Cambria" w:hAnsi="Cambria"/>
      <w:b/>
      <w:bCs/>
      <w:color w:val="156082" w:themeColor="accent1"/>
    </w:rPr>
  </w:style>
  <w:style w:type="paragraph" w:styleId="berschrift4">
    <w:name w:val="heading 4"/>
    <w:basedOn w:val="Standard"/>
    <w:next w:val="Standard"/>
    <w:uiPriority w:val="9"/>
    <w:semiHidden/>
    <w:unhideWhenUsed/>
    <w:qFormat/>
    <w:pPr>
      <w:keepNext/>
      <w:keepLines/>
      <w:spacing w:before="200" w:after="0"/>
      <w:outlineLvl w:val="3"/>
    </w:pPr>
    <w:rPr>
      <w:rFonts w:ascii="Cambria" w:hAnsi="Cambria"/>
      <w:b/>
      <w:bCs/>
      <w:i/>
      <w:iCs/>
      <w:color w:val="156082" w:themeColor="accent1"/>
    </w:rPr>
  </w:style>
  <w:style w:type="paragraph" w:styleId="berschrift5">
    <w:name w:val="heading 5"/>
    <w:basedOn w:val="Standard"/>
    <w:next w:val="Standard"/>
    <w:uiPriority w:val="9"/>
    <w:semiHidden/>
    <w:unhideWhenUsed/>
    <w:qFormat/>
    <w:pPr>
      <w:keepNext/>
      <w:keepLines/>
      <w:spacing w:before="200" w:after="0"/>
      <w:outlineLvl w:val="4"/>
    </w:pPr>
    <w:rPr>
      <w:rFonts w:ascii="Cambria" w:hAnsi="Cambria"/>
      <w:color w:val="0A2F40" w:themeColor="accent1" w:themeShade="7F"/>
    </w:rPr>
  </w:style>
  <w:style w:type="paragraph" w:styleId="berschrift6">
    <w:name w:val="heading 6"/>
    <w:basedOn w:val="Standard"/>
    <w:next w:val="Standard"/>
    <w:uiPriority w:val="9"/>
    <w:semiHidden/>
    <w:unhideWhenUsed/>
    <w:qFormat/>
    <w:pPr>
      <w:keepNext/>
      <w:keepLines/>
      <w:spacing w:before="200" w:after="0"/>
      <w:outlineLvl w:val="5"/>
    </w:pPr>
    <w:rPr>
      <w:rFonts w:ascii="Cambria" w:hAnsi="Cambria"/>
      <w:i/>
      <w:iCs/>
      <w:color w:val="0A2F4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862</Words>
  <Characters>6639</Characters>
  <Application>Microsoft Office Word</Application>
  <DocSecurity>0</DocSecurity>
  <Lines>154</Lines>
  <Paragraphs>75</Paragraphs>
  <ScaleCrop>false</ScaleCrop>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Andreas Rainer</cp:lastModifiedBy>
  <cp:revision>2</cp:revision>
  <dcterms:created xsi:type="dcterms:W3CDTF">2026-08-25T04:17:00Z</dcterms:created>
  <dcterms:modified xsi:type="dcterms:W3CDTF">2026-08-25T04:17:00Z</dcterms:modified>
</cp:coreProperties>
</file>