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VdG/C47/21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VdG/C47/21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Empre Saurio Rex con D.N.I. 00000000X como representante legal de la Empresa/Agrupación de empresas, Entidad colaboradora Empre Saza localizada en Argamasilla de Calatrava provincia de Ciudad Real calle/plaza C/ Calle, 10  C.P.  13501,  con C.I.F. 00000000X, Teléfono 999888777, e-mail empre@saza.com.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1 de mayo 2021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Empre Saurio Rex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