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VdG/C65/22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VdG/C65/22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Rafael Álvarez con D.N.I. 11122234R como representante legal de la Empresa/Agrupación de empresas, Entidad colaboradora COPINSA localizada en Madrid provincia de Madrid calle/plaza C/ Desengaño, 21  C.P.  28004,  con C.I.F. 99988876C, Teléfono 911911911, e-mail info@copinsa.es.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4 de junio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Rafael Álvarez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