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VdG/C4/22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VdG/C4/22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Representante Legal con D.N.I. 99999999Ñ como representante legal de la Empresa/Agrupación de empresas, Entidad colaboradora Empresa Importante localizada en Alcorcón provincia de Madriz calle/plaza C/Goya, 5, 2ºB  C.P.  66666,  con C.I.F. 88888888Ñ, Teléfono 123987456, e-mail empresa@importante.com.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23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