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VdG/C5/22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VdG/C5/22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44553344N como representante legal de la Empresa/Agrupación de empresas, Entidad colaboradora Mercadona localizada en Puertollano provincia de Ciudad Real calle/plaza Poligono Los Patos  C.P.  11323,  con C.I.F. 00099911G, Teléfono 636432133, e-mail merca@dona.com.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