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B5E20"/>
          <w:sz w:val="48"/>
          <w:szCs w:val="48"/>
        </w:rPr>
        <w:t xml:space="preserve">AgroAlerta Andalucía</w:t>
      </w:r>
    </w:p>
    <w:p>
      <w:pPr>
        <w:spacing w:after="40"/>
      </w:pPr>
      <w:r>
        <w:rPr>
          <w:color w:val="5F6368"/>
          <w:sz w:val="28"/>
          <w:szCs w:val="28"/>
        </w:rPr>
        <w:t xml:space="preserve">Documento Maestro de Arquitectura de Software — v2</w:t>
      </w:r>
    </w:p>
    <w:p>
      <w:pPr>
        <w:spacing w:after="300"/>
      </w:pPr>
      <w:r>
        <w:rPr>
          <w:i/>
          <w:iCs/>
          <w:color w:val="5F6368"/>
          <w:sz w:val="22"/>
          <w:szCs w:val="22"/>
        </w:rPr>
        <w:t xml:space="preserve">App Flutter (Android · iOS · Web) de avisos y recomendaciones fitosanitarias basada en datos públicos abiertos — Fase 1: Andalucía</w:t>
      </w:r>
    </w:p>
    <w:p>
      <w:pPr>
        <w:spacing w:after="120"/>
      </w:pPr>
      <w:r>
        <w:rPr>
          <w:i/>
          <w:iCs/>
          <w:color w:val="5F6368"/>
          <w:sz w:val="20"/>
          <w:szCs w:val="20"/>
        </w:rPr>
        <w:t xml:space="preserve">Nota sobre el nombre: "AgroAlerta Andalucía" se usa como nombre de trabajo provisional, ya que el documento original no definía un nombre para esta app (la sección de prompt maestro del documento original correspondía a otra app distinta, "Lindar 3D", ver Nota de Revisión). Puede renombrarse sin impacto en la arquitectura.</w:t>
      </w:r>
    </w:p>
    <w:p>
      <w:pPr>
        <w:pStyle w:val="Heading1"/>
        <w:spacing w:after="200" w:before="400"/>
      </w:pPr>
      <w:r>
        <w:t xml:space="preserve">0. Nota de revisión — Errores detectados en la versión original y correcciones aplicadas</w:t>
      </w:r>
    </w:p>
    <w:p>
      <w:pPr>
        <w:spacing w:after="120"/>
      </w:pPr>
      <w:r>
        <w:t xml:space="preserve">El documento adjunto es sólido como informe de investigación de fuentes de datos abiertos y de modelos de negocio ("data moat"), pero contiene varios problemas graves de cara a usarlo como especificación de desarrollo. Se listan a continuación, junto con la corrección aplicada en este documento:</w:t>
      </w:r>
    </w:p>
    <w:p>
      <w:pPr>
        <w:pStyle w:val="ListParagraph"/>
        <w:numPr>
          <w:ilvl w:val="0"/>
          <w:numId w:val="2"/>
        </w:numPr>
        <w:spacing w:after="60"/>
      </w:pPr>
      <w:r>
        <w:t xml:space="preserve">Mezcla de dos apps distintas (error más grave). El bloque "MASTER PROMPT DE ARQUITECTURA: PROYECTO FLUTTER LINDAR 3D" (rutas, 29 ficheros, esquema Isar) describe la app de medición de fincas y catastro (Lindar 3D), no la app de avisos de enfermedades descrita en el resto del documento. No hay ni una sola ruta, pantalla, fichero o modelo de datos definido para la app de recomendaciones fitosanitarias que es el objetivo real. Este documento la sustituye por la arquitectura correcta.</w:t>
      </w:r>
    </w:p>
    <w:p>
      <w:pPr>
        <w:pStyle w:val="ListParagraph"/>
        <w:numPr>
          <w:ilvl w:val="0"/>
          <w:numId w:val="2"/>
        </w:numPr>
        <w:spacing w:after="60"/>
      </w:pPr>
      <w:r>
        <w:t xml:space="preserve">Ausencia total de arquitectura de cliente para el producto real. Todo el documento original es investigación de mercado y de fuentes de datos; no hay estructura de carpetas, ni rutas, ni modelos, ni servicios para la app de avisos. Se define todo eso en las secciones 5 a 9.</w:t>
      </w:r>
    </w:p>
    <w:p>
      <w:pPr>
        <w:pStyle w:val="ListParagraph"/>
        <w:numPr>
          <w:ilvl w:val="0"/>
          <w:numId w:val="2"/>
        </w:numPr>
        <w:spacing w:after="60"/>
      </w:pPr>
      <w:r>
        <w:t xml:space="preserve">Integración de APIs públicas directamente desde el cliente. El documento sugiere en varios puntos que el propio dispositivo consulte WFS/REST de SIGPAC, AEMET, etc. Esto es inviable en campo (sin cobertura), duplica lógica de parseo XML/GML pesada en el móvil y expone credenciales/límites de cuota por dispositivo. Corrección: patrón "cliente ligero + backend agregador" (sección 3): el móvil sólo habla con la API propia; todo el scraping/parsing de fuentes públicas vive en el backend.</w:t>
      </w:r>
    </w:p>
    <w:p>
      <w:pPr>
        <w:pStyle w:val="ListParagraph"/>
        <w:numPr>
          <w:ilvl w:val="0"/>
          <w:numId w:val="2"/>
        </w:numPr>
        <w:spacing w:after="60"/>
      </w:pPr>
      <w:r>
        <w:t xml:space="preserve">El "riesgo de enfermedad" no está modelado. El documento cita la "regla de los 10" (10 mm de lluvia, 10 °C, brotes de 10 cm) como si fuera suficiente para repilo y mildiu. Es una heurística de campo, no un modelo calibrado: no usa horas de mojado foliar continuas, sobrestima el riesgo en episodios de lluvia breve y no distingue estados fenológicos. Corrección: motor de reglas por enfermedad basado en horas de mojado foliar + temperatura horaria (RIA/IFAPA), con la regla de los 10 sólo como alerta temprana secundaria (sección 9).</w:t>
      </w:r>
    </w:p>
    <w:p>
      <w:pPr>
        <w:pStyle w:val="ListParagraph"/>
        <w:numPr>
          <w:ilvl w:val="0"/>
          <w:numId w:val="2"/>
        </w:numPr>
        <w:spacing w:after="60"/>
      </w:pPr>
      <w:r>
        <w:t xml:space="preserve">No hay sistema de notificaciones push, pese a que "avisos a los agricultores" es el valor central del producto. Corrección: módulo de notificaciones con Firebase Cloud Messaging y reglas de disparo server-side (sección 10).</w:t>
      </w:r>
    </w:p>
    <w:p>
      <w:pPr>
        <w:pStyle w:val="ListParagraph"/>
        <w:numPr>
          <w:ilvl w:val="0"/>
          <w:numId w:val="2"/>
        </w:numPr>
        <w:spacing w:after="60"/>
      </w:pPr>
      <w:r>
        <w:t xml:space="preserve">No hay estrategia de resiliencia ante caídas de las APIs públicas (AEMET, SIGPAC y el registro del MAPA no tienen SLA garantizado). Corrección: caché con última lectura válida, circuit breaker y jobs reintentables en el backend (sección 11).</w:t>
      </w:r>
    </w:p>
    <w:p>
      <w:pPr>
        <w:pStyle w:val="ListParagraph"/>
        <w:numPr>
          <w:ilvl w:val="0"/>
          <w:numId w:val="2"/>
        </w:numPr>
        <w:spacing w:after="60"/>
      </w:pPr>
      <w:r>
        <w:t xml:space="preserve">No se aborda la responsabilidad legal de recomendar tratamientos fitosanitarios. Dar una recomendación de producto/dosis sin disclaimer y sin trazabilidad de la fuente normativa (registro MAPA) expone a responsabilidad civil. Corrección: sección 13, aviso legal obligatorio y registro de la versión del dato normativo usado en cada recomendación.</w:t>
      </w:r>
    </w:p>
    <w:p>
      <w:pPr>
        <w:pStyle w:val="ListParagraph"/>
        <w:numPr>
          <w:ilvl w:val="0"/>
          <w:numId w:val="2"/>
        </w:numPr>
        <w:spacing w:after="60"/>
      </w:pPr>
      <w:r>
        <w:t xml:space="preserve">No hay consideraciones de RGPD para datos de geolocalización de fincas, que son datos que pueden vincularse a la identidad y actividad económica del agricultor. Corrección: sección 13.</w:t>
      </w:r>
    </w:p>
    <w:p>
      <w:pPr>
        <w:pStyle w:val="ListParagraph"/>
        <w:numPr>
          <w:ilvl w:val="0"/>
          <w:numId w:val="2"/>
        </w:numPr>
        <w:spacing w:after="60"/>
      </w:pPr>
      <w:r>
        <w:t xml:space="preserve">El plan de monetización (AdMob + RevenueCat + paywall) se copió del documento de Lindar 3D sin decidir si aplica aquí. Se mantiene como opción para Fase 3, pero no forma parte del MVP: en una app de avisos agronómicos, anuncios intrusivos en pantallas de alerta son un riesgo de producto y de confianza.</w:t>
      </w:r>
    </w:p>
    <w:p>
      <w:pPr>
        <w:pStyle w:val="ListParagraph"/>
        <w:numPr>
          <w:ilvl w:val="0"/>
          <w:numId w:val="2"/>
        </w:numPr>
        <w:spacing w:after="60"/>
      </w:pPr>
      <w:r>
        <w:t xml:space="preserve">El MVP propuesto original mezclaba importación WFS de SIGPAC (complejidad GIS alta) con el módulo de ventana de tratamiento en la misma fase 1, sin priorizar el núcleo de valor (el aviso de riesgo). Corrección: MVP re-acotado en la sección 15, con selección de parcela simplificada (dibujo manual o punto GPS) en vez de WFS completo.</w:t>
      </w:r>
    </w:p>
    <w:p>
      <w:pPr>
        <w:pStyle w:val="ListParagraph"/>
        <w:numPr>
          <w:ilvl w:val="0"/>
          <w:numId w:val="2"/>
        </w:numPr>
        <w:spacing w:after="60"/>
      </w:pPr>
      <w:r>
        <w:t xml:space="preserve">No hay estrategia de testing ni de CI/CD, imprescindible dado que el producto emite recomendaciones normativas.</w:t>
      </w:r>
    </w:p>
    <w:p>
      <w:pPr>
        <w:pStyle w:val="Heading1"/>
        <w:spacing w:after="200" w:before="400"/>
      </w:pPr>
      <w:r>
        <w:t xml:space="preserve">1. Objetivo y alcance del producto</w:t>
      </w:r>
    </w:p>
    <w:p>
      <w:pPr>
        <w:spacing w:after="120"/>
      </w:pPr>
      <w:r>
        <w:t xml:space="preserve">Aplicación Flutter multiplataforma (Android, iOS y Web) que combina fuentes públicas y gratuitas de datos agroclimáticos, edáficos, satelitales y normativos para generar avisos de riesgo de enfermedades y plagas, y recomendaciones de tratamiento fitosanitario legalmente trazables, dirigida en primera instancia a agricultores de Andalucía.</w:t>
      </w:r>
    </w:p>
    <w:p>
      <w:pPr>
        <w:pStyle w:val="Heading3"/>
        <w:spacing w:after="100" w:before="200"/>
      </w:pPr>
      <w:r>
        <w:t xml:space="preserve">Alcance Fase 1 (MVP)</w:t>
      </w:r>
    </w:p>
    <w:p>
      <w:pPr>
        <w:pStyle w:val="ListParagraph"/>
        <w:numPr>
          <w:ilvl w:val="0"/>
          <w:numId w:val="2"/>
        </w:numPr>
        <w:spacing w:after="60"/>
      </w:pPr>
      <w:r>
        <w:t xml:space="preserve">Cultivos: olivar y viñedo (permiten anclar los dos avisos de mayor demanda: repilo y mildiu).</w:t>
      </w:r>
    </w:p>
    <w:p>
      <w:pPr>
        <w:pStyle w:val="ListParagraph"/>
        <w:numPr>
          <w:ilvl w:val="0"/>
          <w:numId w:val="2"/>
        </w:numPr>
        <w:spacing w:after="60"/>
      </w:pPr>
      <w:r>
        <w:t xml:space="preserve">Ámbito geográfico: Andalucía (red RIA-IFAPA + AEMET).</w:t>
      </w:r>
    </w:p>
    <w:p>
      <w:pPr>
        <w:pStyle w:val="ListParagraph"/>
        <w:numPr>
          <w:ilvl w:val="0"/>
          <w:numId w:val="2"/>
        </w:numPr>
        <w:spacing w:after="60"/>
      </w:pPr>
      <w:r>
        <w:t xml:space="preserve">Funcionalidad: alta de parcela simplificada, avisos de riesgo por enfermedad, buscador de producto fitosanitario autorizado, notificaciones push.</w:t>
      </w:r>
    </w:p>
    <w:p>
      <w:pPr>
        <w:pStyle w:val="Heading3"/>
        <w:spacing w:after="100" w:before="200"/>
      </w:pPr>
      <w:r>
        <w:t xml:space="preserve">Explícitamente fuera de alcance en Fase 1</w:t>
      </w:r>
    </w:p>
    <w:p>
      <w:pPr>
        <w:pStyle w:val="ListParagraph"/>
        <w:numPr>
          <w:ilvl w:val="0"/>
          <w:numId w:val="2"/>
        </w:numPr>
        <w:spacing w:after="60"/>
      </w:pPr>
      <w:r>
        <w:t xml:space="preserve">Medición 3D de parcelas y catastro — corresponde al proyecto independiente "Lindar 3D" (documento separado), no se duplica aquí.</w:t>
      </w:r>
    </w:p>
    <w:p>
      <w:pPr>
        <w:pStyle w:val="ListParagraph"/>
        <w:numPr>
          <w:ilvl w:val="0"/>
          <w:numId w:val="2"/>
        </w:numPr>
        <w:spacing w:after="60"/>
      </w:pPr>
      <w:r>
        <w:t xml:space="preserve">Cuaderno Digital de Explotación (CUE) / SIEX completo.</w:t>
      </w:r>
    </w:p>
    <w:p>
      <w:pPr>
        <w:pStyle w:val="ListParagraph"/>
        <w:numPr>
          <w:ilvl w:val="0"/>
          <w:numId w:val="2"/>
        </w:numPr>
        <w:spacing w:after="60"/>
      </w:pPr>
      <w:r>
        <w:t xml:space="preserve">Módulos de seguros (ENESA/Agroseguro) y peritación de siniestros.</w:t>
      </w:r>
    </w:p>
    <w:p>
      <w:pPr>
        <w:pStyle w:val="ListParagraph"/>
        <w:numPr>
          <w:ilvl w:val="0"/>
          <w:numId w:val="2"/>
        </w:numPr>
        <w:spacing w:after="60"/>
      </w:pPr>
      <w:r>
        <w:t xml:space="preserve">Cálculo de dosis variable de nitrógeno y balance hídrico (RiegoOptima/FertiliSmart) — quedan como Fase 3, dependen de backend de teledetección ya operativo.</w:t>
      </w:r>
    </w:p>
    <w:p>
      <w:pPr>
        <w:pStyle w:val="Heading1"/>
        <w:spacing w:after="200" w:before="400"/>
      </w:pPr>
      <w:r>
        <w:t xml:space="preserve">2. Fuentes de datos públicas y su rol en la app</w:t>
      </w:r>
    </w:p>
    <w:p>
      <w:pPr>
        <w:spacing w:after="120"/>
      </w:pPr>
      <w:r>
        <w:t xml:space="preserve">Principio: cada fuente se integra una sola vez, en el backend, nunca desde el cliente Flutter.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2E7D32" w:color="2E7D32" w:val="clear"/>
            <w:tcMar>
              <w:top w:type="dxa" w:w="80"/>
              <w:left w:type="dxa" w:w="100"/>
              <w:bottom w:type="dxa" w:w="80"/>
              <w:right w:type="dxa" w:w="100"/>
            </w:tcMar>
          </w:tcPr>
          <w:p>
            <w:r>
              <w:rPr>
                <w:b/>
                <w:bCs/>
                <w:color w:val="FFFFFF"/>
                <w:sz w:val="19"/>
                <w:szCs w:val="19"/>
              </w:rPr>
              <w:t xml:space="preserve">Fuente</w:t>
            </w:r>
          </w:p>
        </w:tc>
        <w:tc>
          <w:tcPr>
            <w:tcW w:type="pct" w:w="45%"/>
            <w:shd w:fill="2E7D32" w:color="2E7D32" w:val="clear"/>
            <w:tcMar>
              <w:top w:type="dxa" w:w="80"/>
              <w:left w:type="dxa" w:w="100"/>
              <w:bottom w:type="dxa" w:w="80"/>
              <w:right w:type="dxa" w:w="100"/>
            </w:tcMar>
          </w:tcPr>
          <w:p>
            <w:r>
              <w:rPr>
                <w:b/>
                <w:bCs/>
                <w:color w:val="FFFFFF"/>
                <w:sz w:val="19"/>
                <w:szCs w:val="19"/>
              </w:rPr>
              <w:t xml:space="preserve">Dato que aporta</w:t>
            </w:r>
          </w:p>
        </w:tc>
        <w:tc>
          <w:tcPr>
            <w:tcW w:type="pct" w:w="33%"/>
            <w:shd w:fill="2E7D32" w:color="2E7D32" w:val="clear"/>
            <w:tcMar>
              <w:top w:type="dxa" w:w="80"/>
              <w:left w:type="dxa" w:w="100"/>
              <w:bottom w:type="dxa" w:w="80"/>
              <w:right w:type="dxa" w:w="100"/>
            </w:tcMar>
          </w:tcPr>
          <w:p>
            <w:r>
              <w:rPr>
                <w:b/>
                <w:bCs/>
                <w:color w:val="FFFFFF"/>
                <w:sz w:val="19"/>
                <w:szCs w:val="19"/>
              </w:rPr>
              <w:t xml:space="preserve">Módulo que lo consume</w:t>
            </w:r>
          </w:p>
        </w:tc>
      </w:tr>
      <w:tr>
        <w:tc>
          <w:tcPr>
            <w:tcW w:type="pct" w:w="22%"/>
            <w:tcMar>
              <w:top w:type="dxa" w:w="80"/>
              <w:left w:type="dxa" w:w="100"/>
              <w:bottom w:type="dxa" w:w="80"/>
              <w:right w:type="dxa" w:w="100"/>
            </w:tcMar>
          </w:tcPr>
          <w:p>
            <w:r>
              <w:rPr>
                <w:b w:val="false"/>
                <w:bCs w:val="false"/>
                <w:color w:val="000000"/>
                <w:sz w:val="19"/>
                <w:szCs w:val="19"/>
              </w:rPr>
              <w:t xml:space="preserve">AEMET OpenData</w:t>
            </w:r>
          </w:p>
        </w:tc>
        <w:tc>
          <w:tcPr>
            <w:tcW w:type="pct" w:w="45%"/>
            <w:tcMar>
              <w:top w:type="dxa" w:w="80"/>
              <w:left w:type="dxa" w:w="100"/>
              <w:bottom w:type="dxa" w:w="80"/>
              <w:right w:type="dxa" w:w="100"/>
            </w:tcMar>
          </w:tcPr>
          <w:p>
            <w:r>
              <w:rPr>
                <w:b w:val="false"/>
                <w:bCs w:val="false"/>
                <w:color w:val="000000"/>
                <w:sz w:val="19"/>
                <w:szCs w:val="19"/>
              </w:rPr>
              <w:t xml:space="preserve">Predicción municipal, avisos, viento, lluvia</w:t>
            </w:r>
          </w:p>
        </w:tc>
        <w:tc>
          <w:tcPr>
            <w:tcW w:type="pct" w:w="33%"/>
            <w:tcMar>
              <w:top w:type="dxa" w:w="80"/>
              <w:left w:type="dxa" w:w="100"/>
              <w:bottom w:type="dxa" w:w="80"/>
              <w:right w:type="dxa" w:w="100"/>
            </w:tcMar>
          </w:tcPr>
          <w:p>
            <w:r>
              <w:rPr>
                <w:b w:val="false"/>
                <w:bCs w:val="false"/>
                <w:color w:val="000000"/>
                <w:sz w:val="19"/>
                <w:szCs w:val="19"/>
              </w:rPr>
              <w:t xml:space="preserve">Alertas de enfermedad · Ventana de tratamiento</w:t>
            </w:r>
          </w:p>
        </w:tc>
      </w:tr>
      <w:tr>
        <w:tc>
          <w:tcPr>
            <w:tcW w:type="pct" w:w="22%"/>
            <w:tcMar>
              <w:top w:type="dxa" w:w="80"/>
              <w:left w:type="dxa" w:w="100"/>
              <w:bottom w:type="dxa" w:w="80"/>
              <w:right w:type="dxa" w:w="100"/>
            </w:tcMar>
          </w:tcPr>
          <w:p>
            <w:r>
              <w:rPr>
                <w:b w:val="false"/>
                <w:bCs w:val="false"/>
                <w:color w:val="000000"/>
                <w:sz w:val="19"/>
                <w:szCs w:val="19"/>
              </w:rPr>
              <w:t xml:space="preserve">RIA / IFAPA</w:t>
            </w:r>
          </w:p>
        </w:tc>
        <w:tc>
          <w:tcPr>
            <w:tcW w:type="pct" w:w="45%"/>
            <w:tcMar>
              <w:top w:type="dxa" w:w="80"/>
              <w:left w:type="dxa" w:w="100"/>
              <w:bottom w:type="dxa" w:w="80"/>
              <w:right w:type="dxa" w:w="100"/>
            </w:tcMar>
          </w:tcPr>
          <w:p>
            <w:r>
              <w:rPr>
                <w:b w:val="false"/>
                <w:bCs w:val="false"/>
                <w:color w:val="000000"/>
                <w:sz w:val="19"/>
                <w:szCs w:val="19"/>
              </w:rPr>
              <w:t xml:space="preserve">ET₀, humedad relativa horaria, horas de mojado foliar</w:t>
            </w:r>
          </w:p>
        </w:tc>
        <w:tc>
          <w:tcPr>
            <w:tcW w:type="pct" w:w="33%"/>
            <w:tcMar>
              <w:top w:type="dxa" w:w="80"/>
              <w:left w:type="dxa" w:w="100"/>
              <w:bottom w:type="dxa" w:w="80"/>
              <w:right w:type="dxa" w:w="100"/>
            </w:tcMar>
          </w:tcPr>
          <w:p>
            <w:r>
              <w:rPr>
                <w:b w:val="false"/>
                <w:bCs w:val="false"/>
                <w:color w:val="000000"/>
                <w:sz w:val="19"/>
                <w:szCs w:val="19"/>
              </w:rPr>
              <w:t xml:space="preserve">Motor de riesgo (núcleo del MVP)</w:t>
            </w:r>
          </w:p>
        </w:tc>
      </w:tr>
      <w:tr>
        <w:tc>
          <w:tcPr>
            <w:tcW w:type="pct" w:w="22%"/>
            <w:tcMar>
              <w:top w:type="dxa" w:w="80"/>
              <w:left w:type="dxa" w:w="100"/>
              <w:bottom w:type="dxa" w:w="80"/>
              <w:right w:type="dxa" w:w="100"/>
            </w:tcMar>
          </w:tcPr>
          <w:p>
            <w:r>
              <w:rPr>
                <w:b w:val="false"/>
                <w:bCs w:val="false"/>
                <w:color w:val="000000"/>
                <w:sz w:val="19"/>
                <w:szCs w:val="19"/>
              </w:rPr>
              <w:t xml:space="preserve">SIGPAC (WFS/WMS)</w:t>
            </w:r>
          </w:p>
        </w:tc>
        <w:tc>
          <w:tcPr>
            <w:tcW w:type="pct" w:w="45%"/>
            <w:tcMar>
              <w:top w:type="dxa" w:w="80"/>
              <w:left w:type="dxa" w:w="100"/>
              <w:bottom w:type="dxa" w:w="80"/>
              <w:right w:type="dxa" w:w="100"/>
            </w:tcMar>
          </w:tcPr>
          <w:p>
            <w:r>
              <w:rPr>
                <w:b w:val="false"/>
                <w:bCs w:val="false"/>
                <w:color w:val="000000"/>
                <w:sz w:val="19"/>
                <w:szCs w:val="19"/>
              </w:rPr>
              <w:t xml:space="preserve">Geometría y uso del recinto</w:t>
            </w:r>
          </w:p>
        </w:tc>
        <w:tc>
          <w:tcPr>
            <w:tcW w:type="pct" w:w="33%"/>
            <w:tcMar>
              <w:top w:type="dxa" w:w="80"/>
              <w:left w:type="dxa" w:w="100"/>
              <w:bottom w:type="dxa" w:w="80"/>
              <w:right w:type="dxa" w:w="100"/>
            </w:tcMar>
          </w:tcPr>
          <w:p>
            <w:r>
              <w:rPr>
                <w:b w:val="false"/>
                <w:bCs w:val="false"/>
                <w:color w:val="000000"/>
                <w:sz w:val="19"/>
                <w:szCs w:val="19"/>
              </w:rPr>
              <w:t xml:space="preserve">Alta de parcela (Fase 2, ver nota MVP)</w:t>
            </w:r>
          </w:p>
        </w:tc>
      </w:tr>
      <w:tr>
        <w:tc>
          <w:tcPr>
            <w:tcW w:type="pct" w:w="22%"/>
            <w:tcMar>
              <w:top w:type="dxa" w:w="80"/>
              <w:left w:type="dxa" w:w="100"/>
              <w:bottom w:type="dxa" w:w="80"/>
              <w:right w:type="dxa" w:w="100"/>
            </w:tcMar>
          </w:tcPr>
          <w:p>
            <w:r>
              <w:rPr>
                <w:b w:val="false"/>
                <w:bCs w:val="false"/>
                <w:color w:val="000000"/>
                <w:sz w:val="19"/>
                <w:szCs w:val="19"/>
              </w:rPr>
              <w:t xml:space="preserve">Copernicus / Sentinel-2</w:t>
            </w:r>
          </w:p>
        </w:tc>
        <w:tc>
          <w:tcPr>
            <w:tcW w:type="pct" w:w="45%"/>
            <w:tcMar>
              <w:top w:type="dxa" w:w="80"/>
              <w:left w:type="dxa" w:w="100"/>
              <w:bottom w:type="dxa" w:w="80"/>
              <w:right w:type="dxa" w:w="100"/>
            </w:tcMar>
          </w:tcPr>
          <w:p>
            <w:r>
              <w:rPr>
                <w:b w:val="false"/>
                <w:bCs w:val="false"/>
                <w:color w:val="000000"/>
                <w:sz w:val="19"/>
                <w:szCs w:val="19"/>
              </w:rPr>
              <w:t xml:space="preserve">NDVI, NDWI, NDRE</w:t>
            </w:r>
          </w:p>
        </w:tc>
        <w:tc>
          <w:tcPr>
            <w:tcW w:type="pct" w:w="33%"/>
            <w:tcMar>
              <w:top w:type="dxa" w:w="80"/>
              <w:left w:type="dxa" w:w="100"/>
              <w:bottom w:type="dxa" w:w="80"/>
              <w:right w:type="dxa" w:w="100"/>
            </w:tcMar>
          </w:tcPr>
          <w:p>
            <w:r>
              <w:rPr>
                <w:b w:val="false"/>
                <w:bCs w:val="false"/>
                <w:color w:val="000000"/>
                <w:sz w:val="19"/>
                <w:szCs w:val="19"/>
              </w:rPr>
              <w:t xml:space="preserve">Vigor de cultivo (Fase 2)</w:t>
            </w:r>
          </w:p>
        </w:tc>
      </w:tr>
      <w:tr>
        <w:tc>
          <w:tcPr>
            <w:tcW w:type="pct" w:w="22%"/>
            <w:tcMar>
              <w:top w:type="dxa" w:w="80"/>
              <w:left w:type="dxa" w:w="100"/>
              <w:bottom w:type="dxa" w:w="80"/>
              <w:right w:type="dxa" w:w="100"/>
            </w:tcMar>
          </w:tcPr>
          <w:p>
            <w:r>
              <w:rPr>
                <w:b w:val="false"/>
                <w:bCs w:val="false"/>
                <w:color w:val="000000"/>
                <w:sz w:val="19"/>
                <w:szCs w:val="19"/>
              </w:rPr>
              <w:t xml:space="preserve">SoilGrids (ISRIC)</w:t>
            </w:r>
          </w:p>
        </w:tc>
        <w:tc>
          <w:tcPr>
            <w:tcW w:type="pct" w:w="45%"/>
            <w:tcMar>
              <w:top w:type="dxa" w:w="80"/>
              <w:left w:type="dxa" w:w="100"/>
              <w:bottom w:type="dxa" w:w="80"/>
              <w:right w:type="dxa" w:w="100"/>
            </w:tcMar>
          </w:tcPr>
          <w:p>
            <w:r>
              <w:rPr>
                <w:b w:val="false"/>
                <w:bCs w:val="false"/>
                <w:color w:val="000000"/>
                <w:sz w:val="19"/>
                <w:szCs w:val="19"/>
              </w:rPr>
              <w:t xml:space="preserve">Textura, pH, materia orgánica</w:t>
            </w:r>
          </w:p>
        </w:tc>
        <w:tc>
          <w:tcPr>
            <w:tcW w:type="pct" w:w="33%"/>
            <w:tcMar>
              <w:top w:type="dxa" w:w="80"/>
              <w:left w:type="dxa" w:w="100"/>
              <w:bottom w:type="dxa" w:w="80"/>
              <w:right w:type="dxa" w:w="100"/>
            </w:tcMar>
          </w:tcPr>
          <w:p>
            <w:r>
              <w:rPr>
                <w:b w:val="false"/>
                <w:bCs w:val="false"/>
                <w:color w:val="000000"/>
                <w:sz w:val="19"/>
                <w:szCs w:val="19"/>
              </w:rPr>
              <w:t xml:space="preserve">Calibración de modelos de riesgo (Fase 2-3)</w:t>
            </w:r>
          </w:p>
        </w:tc>
      </w:tr>
      <w:tr>
        <w:tc>
          <w:tcPr>
            <w:tcW w:type="pct" w:w="22%"/>
            <w:tcMar>
              <w:top w:type="dxa" w:w="80"/>
              <w:left w:type="dxa" w:w="100"/>
              <w:bottom w:type="dxa" w:w="80"/>
              <w:right w:type="dxa" w:w="100"/>
            </w:tcMar>
          </w:tcPr>
          <w:p>
            <w:r>
              <w:rPr>
                <w:b w:val="false"/>
                <w:bCs w:val="false"/>
                <w:color w:val="000000"/>
                <w:sz w:val="19"/>
                <w:szCs w:val="19"/>
              </w:rPr>
              <w:t xml:space="preserve">EPPO Global Database</w:t>
            </w:r>
          </w:p>
        </w:tc>
        <w:tc>
          <w:tcPr>
            <w:tcW w:type="pct" w:w="45%"/>
            <w:tcMar>
              <w:top w:type="dxa" w:w="80"/>
              <w:left w:type="dxa" w:w="100"/>
              <w:bottom w:type="dxa" w:w="80"/>
              <w:right w:type="dxa" w:w="100"/>
            </w:tcMar>
          </w:tcPr>
          <w:p>
            <w:r>
              <w:rPr>
                <w:b w:val="false"/>
                <w:bCs w:val="false"/>
                <w:color w:val="000000"/>
                <w:sz w:val="19"/>
                <w:szCs w:val="19"/>
              </w:rPr>
              <w:t xml:space="preserve">Taxonomía oficial de plagas/enfermedades</w:t>
            </w:r>
          </w:p>
        </w:tc>
        <w:tc>
          <w:tcPr>
            <w:tcW w:type="pct" w:w="33%"/>
            <w:tcMar>
              <w:top w:type="dxa" w:w="80"/>
              <w:left w:type="dxa" w:w="100"/>
              <w:bottom w:type="dxa" w:w="80"/>
              <w:right w:type="dxa" w:w="100"/>
            </w:tcMar>
          </w:tcPr>
          <w:p>
            <w:r>
              <w:rPr>
                <w:b w:val="false"/>
                <w:bCs w:val="false"/>
                <w:color w:val="000000"/>
                <w:sz w:val="19"/>
                <w:szCs w:val="19"/>
              </w:rPr>
              <w:t xml:space="preserve">Ficha de plaga/enfermedad</w:t>
            </w:r>
          </w:p>
        </w:tc>
      </w:tr>
      <w:tr>
        <w:tc>
          <w:tcPr>
            <w:tcW w:type="pct" w:w="22%"/>
            <w:tcMar>
              <w:top w:type="dxa" w:w="80"/>
              <w:left w:type="dxa" w:w="100"/>
              <w:bottom w:type="dxa" w:w="80"/>
              <w:right w:type="dxa" w:w="100"/>
            </w:tcMar>
          </w:tcPr>
          <w:p>
            <w:r>
              <w:rPr>
                <w:b w:val="false"/>
                <w:bCs w:val="false"/>
                <w:color w:val="000000"/>
                <w:sz w:val="19"/>
                <w:szCs w:val="19"/>
              </w:rPr>
              <w:t xml:space="preserve">Registro MAPA de fitosanitarios</w:t>
            </w:r>
          </w:p>
        </w:tc>
        <w:tc>
          <w:tcPr>
            <w:tcW w:type="pct" w:w="45%"/>
            <w:tcMar>
              <w:top w:type="dxa" w:w="80"/>
              <w:left w:type="dxa" w:w="100"/>
              <w:bottom w:type="dxa" w:w="80"/>
              <w:right w:type="dxa" w:w="100"/>
            </w:tcMar>
          </w:tcPr>
          <w:p>
            <w:r>
              <w:rPr>
                <w:b w:val="false"/>
                <w:bCs w:val="false"/>
                <w:color w:val="000000"/>
                <w:sz w:val="19"/>
                <w:szCs w:val="19"/>
              </w:rPr>
              <w:t xml:space="preserve">Sustancias activas, dosis, plazos de seguridad</w:t>
            </w:r>
          </w:p>
        </w:tc>
        <w:tc>
          <w:tcPr>
            <w:tcW w:type="pct" w:w="33%"/>
            <w:tcMar>
              <w:top w:type="dxa" w:w="80"/>
              <w:left w:type="dxa" w:w="100"/>
              <w:bottom w:type="dxa" w:w="80"/>
              <w:right w:type="dxa" w:w="100"/>
            </w:tcMar>
          </w:tcPr>
          <w:p>
            <w:r>
              <w:rPr>
                <w:b w:val="false"/>
                <w:bCs w:val="false"/>
                <w:color w:val="000000"/>
                <w:sz w:val="19"/>
                <w:szCs w:val="19"/>
              </w:rPr>
              <w:t xml:space="preserve">Buscador de producto autorizado</w:t>
            </w:r>
          </w:p>
        </w:tc>
      </w:tr>
    </w:tbl>
    <w:p>
      <w:pPr>
        <w:pStyle w:val="Heading1"/>
        <w:spacing w:after="200" w:before="400"/>
      </w:pPr>
      <w:r>
        <w:t xml:space="preserve">3. Principio arquitectónico central</w:t>
      </w:r>
    </w:p>
    <w:p>
      <w:pPr>
        <w:spacing w:after="120"/>
      </w:pPr>
      <w:r>
        <w:t xml:space="preserve">Cliente ligero + backend agregador. El cliente Flutter nunca llama directamente a AEMET, SIGPAC, Copernicus ni al MAPA. Sólo conoce un único host: la API propia. Esto resuelve el error nº 3 de la sección 0: evita parseo XML/GML/GeoTIFF en el móvil, permite cachear y reintentar centralmente, y protege claves/cuotas.</w:t>
      </w:r>
    </w:p>
    <w:p>
      <w:pPr>
        <w:shd w:fill="F1F3F4" w:val="clear"/>
        <w:spacing w:after="40"/>
      </w:pPr>
      <w:r>
        <w:rPr>
          <w:rFonts w:ascii="Consolas" w:cs="Consolas" w:eastAsia="Consolas" w:hAnsi="Consolas"/>
          <w:sz w:val="19"/>
          <w:szCs w:val="19"/>
        </w:rPr>
        <w:t xml:space="preserve">Flutter (Isar cache local) → HTTPS/JSON → API propia (FastAPI) → conectores → AEMET · RIA-IFAPA · SIGPAC · Copernicus · MAPA · EPPO · SoilGrids</w:t>
      </w:r>
    </w:p>
    <w:p>
      <w:pPr>
        <w:spacing w:after="120"/>
      </w:pPr>
      <w:r>
        <w:t xml:space="preserve">El backend ingesta estas fuentes mediante jobs programados (no en el hilo de la petición del usuario) y expone endpoints propios, ya agregados y listos para render, versionados en /api/v1.</w:t>
      </w:r>
    </w:p>
    <w:p>
      <w:pPr>
        <w:pStyle w:val="Heading1"/>
        <w:spacing w:after="200" w:before="400"/>
      </w:pPr>
      <w:r>
        <w:t xml:space="preserve">4. Stack tecnológico</w:t>
      </w:r>
    </w:p>
    <w:p>
      <w:pPr>
        <w:pStyle w:val="Heading3"/>
        <w:spacing w:after="100" w:before="200"/>
      </w:pPr>
      <w:r>
        <w:t xml:space="preserve">Cliente Flutter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8%"/>
            <w:shd w:fill="2E7D32" w:color="2E7D32" w:val="clear"/>
            <w:tcMar>
              <w:top w:type="dxa" w:w="80"/>
              <w:left w:type="dxa" w:w="100"/>
              <w:bottom w:type="dxa" w:w="80"/>
              <w:right w:type="dxa" w:w="100"/>
            </w:tcMar>
          </w:tcPr>
          <w:p>
            <w:r>
              <w:rPr>
                <w:b/>
                <w:bCs/>
                <w:color w:val="FFFFFF"/>
                <w:sz w:val="19"/>
                <w:szCs w:val="19"/>
              </w:rPr>
              <w:t xml:space="preserve">Paquete</w:t>
            </w:r>
          </w:p>
        </w:tc>
        <w:tc>
          <w:tcPr>
            <w:tcW w:type="pct" w:w="62%"/>
            <w:shd w:fill="2E7D32" w:color="2E7D32" w:val="clear"/>
            <w:tcMar>
              <w:top w:type="dxa" w:w="80"/>
              <w:left w:type="dxa" w:w="100"/>
              <w:bottom w:type="dxa" w:w="80"/>
              <w:right w:type="dxa" w:w="100"/>
            </w:tcMar>
          </w:tcPr>
          <w:p>
            <w:r>
              <w:rPr>
                <w:b/>
                <w:bCs/>
                <w:color w:val="FFFFFF"/>
                <w:sz w:val="19"/>
                <w:szCs w:val="19"/>
              </w:rPr>
              <w:t xml:space="preserve">Uso</w:t>
            </w:r>
          </w:p>
        </w:tc>
      </w:tr>
      <w:tr>
        <w:tc>
          <w:tcPr>
            <w:tcW w:type="pct" w:w="38%"/>
            <w:tcMar>
              <w:top w:type="dxa" w:w="80"/>
              <w:left w:type="dxa" w:w="100"/>
              <w:bottom w:type="dxa" w:w="80"/>
              <w:right w:type="dxa" w:w="100"/>
            </w:tcMar>
          </w:tcPr>
          <w:p>
            <w:r>
              <w:rPr>
                <w:b w:val="false"/>
                <w:bCs w:val="false"/>
                <w:color w:val="000000"/>
                <w:sz w:val="19"/>
                <w:szCs w:val="19"/>
              </w:rPr>
              <w:t xml:space="preserve">flutter_riverpod</w:t>
            </w:r>
          </w:p>
        </w:tc>
        <w:tc>
          <w:tcPr>
            <w:tcW w:type="pct" w:w="62%"/>
            <w:tcMar>
              <w:top w:type="dxa" w:w="80"/>
              <w:left w:type="dxa" w:w="100"/>
              <w:bottom w:type="dxa" w:w="80"/>
              <w:right w:type="dxa" w:w="100"/>
            </w:tcMar>
          </w:tcPr>
          <w:p>
            <w:r>
              <w:rPr>
                <w:b w:val="false"/>
                <w:bCs w:val="false"/>
                <w:color w:val="000000"/>
                <w:sz w:val="19"/>
                <w:szCs w:val="19"/>
              </w:rPr>
              <w:t xml:space="preserve">Gestión de estado</w:t>
            </w:r>
          </w:p>
        </w:tc>
      </w:tr>
      <w:tr>
        <w:tc>
          <w:tcPr>
            <w:tcW w:type="pct" w:w="38%"/>
            <w:tcMar>
              <w:top w:type="dxa" w:w="80"/>
              <w:left w:type="dxa" w:w="100"/>
              <w:bottom w:type="dxa" w:w="80"/>
              <w:right w:type="dxa" w:w="100"/>
            </w:tcMar>
          </w:tcPr>
          <w:p>
            <w:r>
              <w:rPr>
                <w:b w:val="false"/>
                <w:bCs w:val="false"/>
                <w:color w:val="000000"/>
                <w:sz w:val="19"/>
                <w:szCs w:val="19"/>
              </w:rPr>
              <w:t xml:space="preserve">go_router</w:t>
            </w:r>
          </w:p>
        </w:tc>
        <w:tc>
          <w:tcPr>
            <w:tcW w:type="pct" w:w="62%"/>
            <w:tcMar>
              <w:top w:type="dxa" w:w="80"/>
              <w:left w:type="dxa" w:w="100"/>
              <w:bottom w:type="dxa" w:w="80"/>
              <w:right w:type="dxa" w:w="100"/>
            </w:tcMar>
          </w:tcPr>
          <w:p>
            <w:r>
              <w:rPr>
                <w:b w:val="false"/>
                <w:bCs w:val="false"/>
                <w:color w:val="000000"/>
                <w:sz w:val="19"/>
                <w:szCs w:val="19"/>
              </w:rPr>
              <w:t xml:space="preserve">Navegación declarativa</w:t>
            </w:r>
          </w:p>
        </w:tc>
      </w:tr>
      <w:tr>
        <w:tc>
          <w:tcPr>
            <w:tcW w:type="pct" w:w="38%"/>
            <w:tcMar>
              <w:top w:type="dxa" w:w="80"/>
              <w:left w:type="dxa" w:w="100"/>
              <w:bottom w:type="dxa" w:w="80"/>
              <w:right w:type="dxa" w:w="100"/>
            </w:tcMar>
          </w:tcPr>
          <w:p>
            <w:r>
              <w:rPr>
                <w:b w:val="false"/>
                <w:bCs w:val="false"/>
                <w:color w:val="000000"/>
                <w:sz w:val="19"/>
                <w:szCs w:val="19"/>
              </w:rPr>
              <w:t xml:space="preserve">dio</w:t>
            </w:r>
          </w:p>
        </w:tc>
        <w:tc>
          <w:tcPr>
            <w:tcW w:type="pct" w:w="62%"/>
            <w:tcMar>
              <w:top w:type="dxa" w:w="80"/>
              <w:left w:type="dxa" w:w="100"/>
              <w:bottom w:type="dxa" w:w="80"/>
              <w:right w:type="dxa" w:w="100"/>
            </w:tcMar>
          </w:tcPr>
          <w:p>
            <w:r>
              <w:rPr>
                <w:b w:val="false"/>
                <w:bCs w:val="false"/>
                <w:color w:val="000000"/>
                <w:sz w:val="19"/>
                <w:szCs w:val="19"/>
              </w:rPr>
              <w:t xml:space="preserve">Cliente HTTP + interceptores de caché offline</w:t>
            </w:r>
          </w:p>
        </w:tc>
      </w:tr>
      <w:tr>
        <w:tc>
          <w:tcPr>
            <w:tcW w:type="pct" w:w="38%"/>
            <w:tcMar>
              <w:top w:type="dxa" w:w="80"/>
              <w:left w:type="dxa" w:w="100"/>
              <w:bottom w:type="dxa" w:w="80"/>
              <w:right w:type="dxa" w:w="100"/>
            </w:tcMar>
          </w:tcPr>
          <w:p>
            <w:r>
              <w:rPr>
                <w:b w:val="false"/>
                <w:bCs w:val="false"/>
                <w:color w:val="000000"/>
                <w:sz w:val="19"/>
                <w:szCs w:val="19"/>
              </w:rPr>
              <w:t xml:space="preserve">isar</w:t>
            </w:r>
          </w:p>
        </w:tc>
        <w:tc>
          <w:tcPr>
            <w:tcW w:type="pct" w:w="62%"/>
            <w:tcMar>
              <w:top w:type="dxa" w:w="80"/>
              <w:left w:type="dxa" w:w="100"/>
              <w:bottom w:type="dxa" w:w="80"/>
              <w:right w:type="dxa" w:w="100"/>
            </w:tcMar>
          </w:tcPr>
          <w:p>
            <w:r>
              <w:rPr>
                <w:b w:val="false"/>
                <w:bCs w:val="false"/>
                <w:color w:val="000000"/>
                <w:sz w:val="19"/>
                <w:szCs w:val="19"/>
              </w:rPr>
              <w:t xml:space="preserve">Base de datos local NoSQL (caché offline)</w:t>
            </w:r>
          </w:p>
        </w:tc>
      </w:tr>
      <w:tr>
        <w:tc>
          <w:tcPr>
            <w:tcW w:type="pct" w:w="38%"/>
            <w:tcMar>
              <w:top w:type="dxa" w:w="80"/>
              <w:left w:type="dxa" w:w="100"/>
              <w:bottom w:type="dxa" w:w="80"/>
              <w:right w:type="dxa" w:w="100"/>
            </w:tcMar>
          </w:tcPr>
          <w:p>
            <w:r>
              <w:rPr>
                <w:b w:val="false"/>
                <w:bCs w:val="false"/>
                <w:color w:val="000000"/>
                <w:sz w:val="19"/>
                <w:szCs w:val="19"/>
              </w:rPr>
              <w:t xml:space="preserve">firebase_messaging + firebase_core</w:t>
            </w:r>
          </w:p>
        </w:tc>
        <w:tc>
          <w:tcPr>
            <w:tcW w:type="pct" w:w="62%"/>
            <w:tcMar>
              <w:top w:type="dxa" w:w="80"/>
              <w:left w:type="dxa" w:w="100"/>
              <w:bottom w:type="dxa" w:w="80"/>
              <w:right w:type="dxa" w:w="100"/>
            </w:tcMar>
          </w:tcPr>
          <w:p>
            <w:r>
              <w:rPr>
                <w:b w:val="false"/>
                <w:bCs w:val="false"/>
                <w:color w:val="000000"/>
                <w:sz w:val="19"/>
                <w:szCs w:val="19"/>
              </w:rPr>
              <w:t xml:space="preserve">Notificaciones push de avisos</w:t>
            </w:r>
          </w:p>
        </w:tc>
      </w:tr>
      <w:tr>
        <w:tc>
          <w:tcPr>
            <w:tcW w:type="pct" w:w="38%"/>
            <w:tcMar>
              <w:top w:type="dxa" w:w="80"/>
              <w:left w:type="dxa" w:w="100"/>
              <w:bottom w:type="dxa" w:w="80"/>
              <w:right w:type="dxa" w:w="100"/>
            </w:tcMar>
          </w:tcPr>
          <w:p>
            <w:r>
              <w:rPr>
                <w:b w:val="false"/>
                <w:bCs w:val="false"/>
                <w:color w:val="000000"/>
                <w:sz w:val="19"/>
                <w:szCs w:val="19"/>
              </w:rPr>
              <w:t xml:space="preserve">flutter_map + latlong2</w:t>
            </w:r>
          </w:p>
        </w:tc>
        <w:tc>
          <w:tcPr>
            <w:tcW w:type="pct" w:w="62%"/>
            <w:tcMar>
              <w:top w:type="dxa" w:w="80"/>
              <w:left w:type="dxa" w:w="100"/>
              <w:bottom w:type="dxa" w:w="80"/>
              <w:right w:type="dxa" w:w="100"/>
            </w:tcMar>
          </w:tcPr>
          <w:p>
            <w:r>
              <w:rPr>
                <w:b w:val="false"/>
                <w:bCs w:val="false"/>
                <w:color w:val="000000"/>
                <w:sz w:val="19"/>
                <w:szCs w:val="19"/>
              </w:rPr>
              <w:t xml:space="preserve">Mapa (raster/vector ligero; ver nota)</w:t>
            </w:r>
          </w:p>
        </w:tc>
      </w:tr>
      <w:tr>
        <w:tc>
          <w:tcPr>
            <w:tcW w:type="pct" w:w="38%"/>
            <w:tcMar>
              <w:top w:type="dxa" w:w="80"/>
              <w:left w:type="dxa" w:w="100"/>
              <w:bottom w:type="dxa" w:w="80"/>
              <w:right w:type="dxa" w:w="100"/>
            </w:tcMar>
          </w:tcPr>
          <w:p>
            <w:r>
              <w:rPr>
                <w:b w:val="false"/>
                <w:bCs w:val="false"/>
                <w:color w:val="000000"/>
                <w:sz w:val="19"/>
                <w:szCs w:val="19"/>
              </w:rPr>
              <w:t xml:space="preserve">animations</w:t>
            </w:r>
          </w:p>
        </w:tc>
        <w:tc>
          <w:tcPr>
            <w:tcW w:type="pct" w:w="62%"/>
            <w:tcMar>
              <w:top w:type="dxa" w:w="80"/>
              <w:left w:type="dxa" w:w="100"/>
              <w:bottom w:type="dxa" w:w="80"/>
              <w:right w:type="dxa" w:w="100"/>
            </w:tcMar>
          </w:tcPr>
          <w:p>
            <w:r>
              <w:rPr>
                <w:b w:val="false"/>
                <w:bCs w:val="false"/>
                <w:color w:val="000000"/>
                <w:sz w:val="19"/>
                <w:szCs w:val="19"/>
              </w:rPr>
              <w:t xml:space="preserve">PageTransitionsTheme (Shared Axis / Fade Through)</w:t>
            </w:r>
          </w:p>
        </w:tc>
      </w:tr>
      <w:tr>
        <w:tc>
          <w:tcPr>
            <w:tcW w:type="pct" w:w="38%"/>
            <w:tcMar>
              <w:top w:type="dxa" w:w="80"/>
              <w:left w:type="dxa" w:w="100"/>
              <w:bottom w:type="dxa" w:w="80"/>
              <w:right w:type="dxa" w:w="100"/>
            </w:tcMar>
          </w:tcPr>
          <w:p>
            <w:r>
              <w:rPr>
                <w:b w:val="false"/>
                <w:bCs w:val="false"/>
                <w:color w:val="000000"/>
                <w:sz w:val="19"/>
                <w:szCs w:val="19"/>
              </w:rPr>
              <w:t xml:space="preserve">flutter_animate</w:t>
            </w:r>
          </w:p>
        </w:tc>
        <w:tc>
          <w:tcPr>
            <w:tcW w:type="pct" w:w="62%"/>
            <w:tcMar>
              <w:top w:type="dxa" w:w="80"/>
              <w:left w:type="dxa" w:w="100"/>
              <w:bottom w:type="dxa" w:w="80"/>
              <w:right w:type="dxa" w:w="100"/>
            </w:tcMar>
          </w:tcPr>
          <w:p>
            <w:r>
              <w:rPr>
                <w:b w:val="false"/>
                <w:bCs w:val="false"/>
                <w:color w:val="000000"/>
                <w:sz w:val="19"/>
                <w:szCs w:val="19"/>
              </w:rPr>
              <w:t xml:space="preserve">Micro-animaciones en tarjetas de riesgo y listas</w:t>
            </w:r>
          </w:p>
        </w:tc>
      </w:tr>
      <w:tr>
        <w:tc>
          <w:tcPr>
            <w:tcW w:type="pct" w:w="38%"/>
            <w:tcMar>
              <w:top w:type="dxa" w:w="80"/>
              <w:left w:type="dxa" w:w="100"/>
              <w:bottom w:type="dxa" w:w="80"/>
              <w:right w:type="dxa" w:w="100"/>
            </w:tcMar>
          </w:tcPr>
          <w:p>
            <w:r>
              <w:rPr>
                <w:b w:val="false"/>
                <w:bCs w:val="false"/>
                <w:color w:val="000000"/>
                <w:sz w:val="19"/>
                <w:szCs w:val="19"/>
              </w:rPr>
              <w:t xml:space="preserve">lottie</w:t>
            </w:r>
          </w:p>
        </w:tc>
        <w:tc>
          <w:tcPr>
            <w:tcW w:type="pct" w:w="62%"/>
            <w:tcMar>
              <w:top w:type="dxa" w:w="80"/>
              <w:left w:type="dxa" w:w="100"/>
              <w:bottom w:type="dxa" w:w="80"/>
              <w:right w:type="dxa" w:w="100"/>
            </w:tcMar>
          </w:tcPr>
          <w:p>
            <w:r>
              <w:rPr>
                <w:b w:val="false"/>
                <w:bCs w:val="false"/>
                <w:color w:val="000000"/>
                <w:sz w:val="19"/>
                <w:szCs w:val="19"/>
              </w:rPr>
              <w:t xml:space="preserve">Iconografía animada de clima/estado de riesgo</w:t>
            </w:r>
          </w:p>
        </w:tc>
      </w:tr>
      <w:tr>
        <w:tc>
          <w:tcPr>
            <w:tcW w:type="pct" w:w="38%"/>
            <w:tcMar>
              <w:top w:type="dxa" w:w="80"/>
              <w:left w:type="dxa" w:w="100"/>
              <w:bottom w:type="dxa" w:w="80"/>
              <w:right w:type="dxa" w:w="100"/>
            </w:tcMar>
          </w:tcPr>
          <w:p>
            <w:r>
              <w:rPr>
                <w:b w:val="false"/>
                <w:bCs w:val="false"/>
                <w:color w:val="000000"/>
                <w:sz w:val="19"/>
                <w:szCs w:val="19"/>
              </w:rPr>
              <w:t xml:space="preserve">connectivity_plus</w:t>
            </w:r>
          </w:p>
        </w:tc>
        <w:tc>
          <w:tcPr>
            <w:tcW w:type="pct" w:w="62%"/>
            <w:tcMar>
              <w:top w:type="dxa" w:w="80"/>
              <w:left w:type="dxa" w:w="100"/>
              <w:bottom w:type="dxa" w:w="80"/>
              <w:right w:type="dxa" w:w="100"/>
            </w:tcMar>
          </w:tcPr>
          <w:p>
            <w:r>
              <w:rPr>
                <w:b w:val="false"/>
                <w:bCs w:val="false"/>
                <w:color w:val="000000"/>
                <w:sz w:val="19"/>
                <w:szCs w:val="19"/>
              </w:rPr>
              <w:t xml:space="preserve">Detección de estado de red para modo offline</w:t>
            </w:r>
          </w:p>
        </w:tc>
      </w:tr>
      <w:tr>
        <w:tc>
          <w:tcPr>
            <w:tcW w:type="pct" w:w="38%"/>
            <w:tcMar>
              <w:top w:type="dxa" w:w="80"/>
              <w:left w:type="dxa" w:w="100"/>
              <w:bottom w:type="dxa" w:w="80"/>
              <w:right w:type="dxa" w:w="100"/>
            </w:tcMar>
          </w:tcPr>
          <w:p>
            <w:r>
              <w:rPr>
                <w:b w:val="false"/>
                <w:bCs w:val="false"/>
                <w:color w:val="000000"/>
                <w:sz w:val="19"/>
                <w:szCs w:val="19"/>
              </w:rPr>
              <w:t xml:space="preserve">geolocator</w:t>
            </w:r>
          </w:p>
        </w:tc>
        <w:tc>
          <w:tcPr>
            <w:tcW w:type="pct" w:w="62%"/>
            <w:tcMar>
              <w:top w:type="dxa" w:w="80"/>
              <w:left w:type="dxa" w:w="100"/>
              <w:bottom w:type="dxa" w:w="80"/>
              <w:right w:type="dxa" w:w="100"/>
            </w:tcMar>
          </w:tcPr>
          <w:p>
            <w:r>
              <w:rPr>
                <w:b w:val="false"/>
                <w:bCs w:val="false"/>
                <w:color w:val="000000"/>
                <w:sz w:val="19"/>
                <w:szCs w:val="19"/>
              </w:rPr>
              <w:t xml:space="preserve">Posición GPS para alta rápida de parcela</w:t>
            </w:r>
          </w:p>
        </w:tc>
      </w:tr>
      <w:tr>
        <w:tc>
          <w:tcPr>
            <w:tcW w:type="pct" w:w="38%"/>
            <w:tcMar>
              <w:top w:type="dxa" w:w="80"/>
              <w:left w:type="dxa" w:w="100"/>
              <w:bottom w:type="dxa" w:w="80"/>
              <w:right w:type="dxa" w:w="100"/>
            </w:tcMar>
          </w:tcPr>
          <w:p>
            <w:r>
              <w:rPr>
                <w:b w:val="false"/>
                <w:bCs w:val="false"/>
                <w:color w:val="000000"/>
                <w:sz w:val="19"/>
                <w:szCs w:val="19"/>
              </w:rPr>
              <w:t xml:space="preserve">fl_chart</w:t>
            </w:r>
          </w:p>
        </w:tc>
        <w:tc>
          <w:tcPr>
            <w:tcW w:type="pct" w:w="62%"/>
            <w:tcMar>
              <w:top w:type="dxa" w:w="80"/>
              <w:left w:type="dxa" w:w="100"/>
              <w:bottom w:type="dxa" w:w="80"/>
              <w:right w:type="dxa" w:w="100"/>
            </w:tcMar>
          </w:tcPr>
          <w:p>
            <w:r>
              <w:rPr>
                <w:b w:val="false"/>
                <w:bCs w:val="false"/>
                <w:color w:val="000000"/>
                <w:sz w:val="19"/>
                <w:szCs w:val="19"/>
              </w:rPr>
              <w:t xml:space="preserve">Gráficas de evolución de riesgo y clima</w:t>
            </w:r>
          </w:p>
        </w:tc>
      </w:tr>
    </w:tbl>
    <w:p>
      <w:pPr>
        <w:spacing w:after="120"/>
      </w:pPr>
      <w:r>
        <w:t xml:space="preserve">Nota sobre el motor de mapa: a diferencia de Lindar 3D (que necesita miles de polígonos catastrales a 60 fps y usa maplibre_gl), esta app sólo dibuja el contorno de las parcelas del propio agricultor y capas ligeras de riesgo por comarca. flutter_map es suficiente para el MVP y reduce tamaño de binario y complejidad nativa; si en Fase 3 se incorpora NDVI en teselas vectoriales masivas, se reevaluará la migración a maplibre_gl.</w:t>
      </w:r>
    </w:p>
    <w:p>
      <w:pPr>
        <w:pStyle w:val="Heading3"/>
        <w:spacing w:after="100" w:before="200"/>
      </w:pPr>
      <w:r>
        <w:t xml:space="preserve">Backend</w:t>
      </w:r>
    </w:p>
    <w:p>
      <w:pPr>
        <w:pStyle w:val="ListParagraph"/>
        <w:numPr>
          <w:ilvl w:val="0"/>
          <w:numId w:val="2"/>
        </w:numPr>
        <w:spacing w:after="60"/>
      </w:pPr>
      <w:r>
        <w:t xml:space="preserve">Python 3.12 + FastAPI (API REST versionada /api/v1).</w:t>
      </w:r>
    </w:p>
    <w:p>
      <w:pPr>
        <w:pStyle w:val="ListParagraph"/>
        <w:numPr>
          <w:ilvl w:val="0"/>
          <w:numId w:val="2"/>
        </w:numPr>
        <w:spacing w:after="60"/>
      </w:pPr>
      <w:r>
        <w:t xml:space="preserve">PostgreSQL 16 + PostGIS (geometrías de parcela y comarcas agroclimáticas).</w:t>
      </w:r>
    </w:p>
    <w:p>
      <w:pPr>
        <w:pStyle w:val="ListParagraph"/>
        <w:numPr>
          <w:ilvl w:val="0"/>
          <w:numId w:val="2"/>
        </w:numPr>
        <w:spacing w:after="60"/>
      </w:pPr>
      <w:r>
        <w:t xml:space="preserve">Celery + Redis (jobs programados de ingesta: AEMET, RIA-IFAPA, MAPA, Sentinel-2).</w:t>
      </w:r>
    </w:p>
    <w:p>
      <w:pPr>
        <w:pStyle w:val="ListParagraph"/>
        <w:numPr>
          <w:ilvl w:val="0"/>
          <w:numId w:val="2"/>
        </w:numPr>
        <w:spacing w:after="60"/>
      </w:pPr>
      <w:r>
        <w:t xml:space="preserve">Rasterio / PySTAC (procesado de escenas Sentinel-2, Fase 2).</w:t>
      </w:r>
    </w:p>
    <w:p>
      <w:pPr>
        <w:pStyle w:val="ListParagraph"/>
        <w:numPr>
          <w:ilvl w:val="0"/>
          <w:numId w:val="2"/>
        </w:numPr>
        <w:spacing w:after="60"/>
      </w:pPr>
      <w:r>
        <w:t xml:space="preserve">Docker + docker-compose para entorno reproducible; despliegue contenedorizado (Cloud Run / ECS, a decidir).</w:t>
      </w:r>
    </w:p>
    <w:p>
      <w:pPr>
        <w:pStyle w:val="Heading1"/>
        <w:spacing w:after="200" w:before="400"/>
      </w:pPr>
      <w:r>
        <w:t xml:space="preserve">5. Estructura de carpetas y módulos — Cliente Flutter</w:t>
      </w:r>
    </w:p>
    <w:p>
      <w:pPr>
        <w:spacing w:after="120"/>
      </w:pPr>
      <w:r>
        <w:t xml:space="preserve">Arquitectura "Feature-First": cada módulo de negocio es autocontenible en presentation / domain / data.</w:t>
      </w:r>
    </w:p>
    <w:p>
      <w:pPr>
        <w:pStyle w:val="Heading3"/>
        <w:spacing w:after="100" w:before="200"/>
      </w:pPr>
      <w:r>
        <w:t xml:space="preserve">Núcleo de la app (Core)</w:t>
      </w:r>
    </w:p>
    <w:p>
      <w:pPr>
        <w:spacing w:after="70"/>
        <w:ind w:left="200"/>
      </w:pPr>
      <w:r>
        <w:rPr>
          <w:rFonts w:ascii="Consolas" w:cs="Consolas" w:eastAsia="Consolas" w:hAnsi="Consolas"/>
          <w:b/>
          <w:bCs/>
          <w:color w:val="1B5E20"/>
          <w:sz w:val="19"/>
          <w:szCs w:val="19"/>
        </w:rPr>
        <w:t xml:space="preserve">lib/main.dart</w:t>
      </w:r>
      <w:r>
        <w:rPr>
          <w:sz w:val="20"/>
          <w:szCs w:val="20"/>
        </w:rPr>
        <w:t xml:space="preserve">  →  main(), inicialización de Firebase, Isar y ProviderScope</w:t>
      </w:r>
    </w:p>
    <w:p>
      <w:pPr>
        <w:spacing w:after="70"/>
        <w:ind w:left="200"/>
      </w:pPr>
      <w:r>
        <w:rPr>
          <w:rFonts w:ascii="Consolas" w:cs="Consolas" w:eastAsia="Consolas" w:hAnsi="Consolas"/>
          <w:b/>
          <w:bCs/>
          <w:color w:val="1B5E20"/>
          <w:sz w:val="19"/>
          <w:szCs w:val="19"/>
        </w:rPr>
        <w:t xml:space="preserve">lib/src/core/theme/app_theme.dart</w:t>
      </w:r>
      <w:r>
        <w:rPr>
          <w:sz w:val="20"/>
          <w:szCs w:val="20"/>
        </w:rPr>
        <w:t xml:space="preserve">  →  class AppTheme — ThemeData Material 3, claro/oscuro, PageTransitionsTheme</w:t>
      </w:r>
    </w:p>
    <w:p>
      <w:pPr>
        <w:spacing w:after="70"/>
        <w:ind w:left="200"/>
      </w:pPr>
      <w:r>
        <w:rPr>
          <w:rFonts w:ascii="Consolas" w:cs="Consolas" w:eastAsia="Consolas" w:hAnsi="Consolas"/>
          <w:b/>
          <w:bCs/>
          <w:color w:val="1B5E20"/>
          <w:sz w:val="19"/>
          <w:szCs w:val="19"/>
        </w:rPr>
        <w:t xml:space="preserve">lib/src/core/theme/app_colors.dart</w:t>
      </w:r>
      <w:r>
        <w:rPr>
          <w:sz w:val="20"/>
          <w:szCs w:val="20"/>
        </w:rPr>
        <w:t xml:space="preserve">  →  class AppColors — paleta verde agrícola, colores semánticos de riesgo (bajo/medio/alto)</w:t>
      </w:r>
    </w:p>
    <w:p>
      <w:pPr>
        <w:spacing w:after="70"/>
        <w:ind w:left="200"/>
      </w:pPr>
      <w:r>
        <w:rPr>
          <w:rFonts w:ascii="Consolas" w:cs="Consolas" w:eastAsia="Consolas" w:hAnsi="Consolas"/>
          <w:b/>
          <w:bCs/>
          <w:color w:val="1B5E20"/>
          <w:sz w:val="19"/>
          <w:szCs w:val="19"/>
        </w:rPr>
        <w:t xml:space="preserve">lib/src/core/theme/app_typography.dart</w:t>
      </w:r>
      <w:r>
        <w:rPr>
          <w:sz w:val="20"/>
          <w:szCs w:val="20"/>
        </w:rPr>
        <w:t xml:space="preserve">  →  class AppTypography — escala tipográfica Material 3</w:t>
      </w:r>
    </w:p>
    <w:p>
      <w:pPr>
        <w:spacing w:after="70"/>
        <w:ind w:left="200"/>
      </w:pPr>
      <w:r>
        <w:rPr>
          <w:rFonts w:ascii="Consolas" w:cs="Consolas" w:eastAsia="Consolas" w:hAnsi="Consolas"/>
          <w:b/>
          <w:bCs/>
          <w:color w:val="1B5E20"/>
          <w:sz w:val="19"/>
          <w:szCs w:val="19"/>
        </w:rPr>
        <w:t xml:space="preserve">lib/src/core/constants/api_constants.dart</w:t>
      </w:r>
      <w:r>
        <w:rPr>
          <w:sz w:val="20"/>
          <w:szCs w:val="20"/>
        </w:rPr>
        <w:t xml:space="preserve">  →  class ApiConstants — base URL y endpoints de la API propia</w:t>
      </w:r>
    </w:p>
    <w:p>
      <w:pPr>
        <w:spacing w:after="70"/>
        <w:ind w:left="200"/>
      </w:pPr>
      <w:r>
        <w:rPr>
          <w:rFonts w:ascii="Consolas" w:cs="Consolas" w:eastAsia="Consolas" w:hAnsi="Consolas"/>
          <w:b/>
          <w:bCs/>
          <w:color w:val="1B5E20"/>
          <w:sz w:val="19"/>
          <w:szCs w:val="19"/>
        </w:rPr>
        <w:t xml:space="preserve">lib/src/core/constants/crop_constants.dart</w:t>
      </w:r>
      <w:r>
        <w:rPr>
          <w:sz w:val="20"/>
          <w:szCs w:val="20"/>
        </w:rPr>
        <w:t xml:space="preserve">  →  class CropConstants — catálogo de cultivos y enfermedades soportadas en Fase 1</w:t>
      </w:r>
    </w:p>
    <w:p>
      <w:pPr>
        <w:spacing w:after="70"/>
        <w:ind w:left="200"/>
      </w:pPr>
      <w:r>
        <w:rPr>
          <w:rFonts w:ascii="Consolas" w:cs="Consolas" w:eastAsia="Consolas" w:hAnsi="Consolas"/>
          <w:b/>
          <w:bCs/>
          <w:color w:val="1B5E20"/>
          <w:sz w:val="19"/>
          <w:szCs w:val="19"/>
        </w:rPr>
        <w:t xml:space="preserve">lib/src/core/router/app_router.dart</w:t>
      </w:r>
      <w:r>
        <w:rPr>
          <w:sz w:val="20"/>
          <w:szCs w:val="20"/>
        </w:rPr>
        <w:t xml:space="preserve">  →  GoRouter — catálogo de rutas (ver sección 6)</w:t>
      </w:r>
    </w:p>
    <w:p>
      <w:pPr>
        <w:spacing w:after="70"/>
        <w:ind w:left="200"/>
      </w:pPr>
      <w:r>
        <w:rPr>
          <w:rFonts w:ascii="Consolas" w:cs="Consolas" w:eastAsia="Consolas" w:hAnsi="Consolas"/>
          <w:b/>
          <w:bCs/>
          <w:color w:val="1B5E20"/>
          <w:sz w:val="19"/>
          <w:szCs w:val="19"/>
        </w:rPr>
        <w:t xml:space="preserve">lib/src/core/network/api_client.dart</w:t>
      </w:r>
      <w:r>
        <w:rPr>
          <w:sz w:val="20"/>
          <w:szCs w:val="20"/>
        </w:rPr>
        <w:t xml:space="preserve">  →  class ApiClient — wrapper de dio con interceptores</w:t>
      </w:r>
    </w:p>
    <w:p>
      <w:pPr>
        <w:spacing w:after="70"/>
        <w:ind w:left="200"/>
      </w:pPr>
      <w:r>
        <w:rPr>
          <w:rFonts w:ascii="Consolas" w:cs="Consolas" w:eastAsia="Consolas" w:hAnsi="Consolas"/>
          <w:b/>
          <w:bCs/>
          <w:color w:val="1B5E20"/>
          <w:sz w:val="19"/>
          <w:szCs w:val="19"/>
        </w:rPr>
        <w:t xml:space="preserve">lib/src/core/network/offline_cache_interceptor.dart</w:t>
      </w:r>
      <w:r>
        <w:rPr>
          <w:sz w:val="20"/>
          <w:szCs w:val="20"/>
        </w:rPr>
        <w:t xml:space="preserve">  →  class OfflineCacheInterceptor — sirve última respuesta válida de Isar si no hay red</w:t>
      </w:r>
    </w:p>
    <w:p>
      <w:pPr>
        <w:spacing w:after="70"/>
        <w:ind w:left="200"/>
      </w:pPr>
      <w:r>
        <w:rPr>
          <w:rFonts w:ascii="Consolas" w:cs="Consolas" w:eastAsia="Consolas" w:hAnsi="Consolas"/>
          <w:b/>
          <w:bCs/>
          <w:color w:val="1B5E20"/>
          <w:sz w:val="19"/>
          <w:szCs w:val="19"/>
        </w:rPr>
        <w:t xml:space="preserve">lib/src/core/network/api_exceptions.dart</w:t>
      </w:r>
      <w:r>
        <w:rPr>
          <w:sz w:val="20"/>
          <w:szCs w:val="20"/>
        </w:rPr>
        <w:t xml:space="preserve">  →  Jerarquía de excepciones de red (NetworkException, ServerException, StaleDataException)</w:t>
      </w:r>
    </w:p>
    <w:p>
      <w:pPr>
        <w:spacing w:after="70"/>
        <w:ind w:left="200"/>
      </w:pPr>
      <w:r>
        <w:rPr>
          <w:rFonts w:ascii="Consolas" w:cs="Consolas" w:eastAsia="Consolas" w:hAnsi="Consolas"/>
          <w:b/>
          <w:bCs/>
          <w:color w:val="1B5E20"/>
          <w:sz w:val="19"/>
          <w:szCs w:val="19"/>
        </w:rPr>
        <w:t xml:space="preserve">lib/src/core/services/notification_service.dart</w:t>
      </w:r>
      <w:r>
        <w:rPr>
          <w:sz w:val="20"/>
          <w:szCs w:val="20"/>
        </w:rPr>
        <w:t xml:space="preserve">  →  class NotificationService — registro de token FCM y manejo de avisos entrantes</w:t>
      </w:r>
    </w:p>
    <w:p>
      <w:pPr>
        <w:spacing w:after="70"/>
        <w:ind w:left="200"/>
      </w:pPr>
      <w:r>
        <w:rPr>
          <w:rFonts w:ascii="Consolas" w:cs="Consolas" w:eastAsia="Consolas" w:hAnsi="Consolas"/>
          <w:b/>
          <w:bCs/>
          <w:color w:val="1B5E20"/>
          <w:sz w:val="19"/>
          <w:szCs w:val="19"/>
        </w:rPr>
        <w:t xml:space="preserve">lib/src/core/services/connectivity_service.dart</w:t>
      </w:r>
      <w:r>
        <w:rPr>
          <w:sz w:val="20"/>
          <w:szCs w:val="20"/>
        </w:rPr>
        <w:t xml:space="preserve">  →  class ConnectivityService — expone estado online/offline reactivo</w:t>
      </w:r>
    </w:p>
    <w:p>
      <w:pPr>
        <w:spacing w:after="70"/>
        <w:ind w:left="200"/>
      </w:pPr>
      <w:r>
        <w:rPr>
          <w:rFonts w:ascii="Consolas" w:cs="Consolas" w:eastAsia="Consolas" w:hAnsi="Consolas"/>
          <w:b/>
          <w:bCs/>
          <w:color w:val="1B5E20"/>
          <w:sz w:val="19"/>
          <w:szCs w:val="19"/>
        </w:rPr>
        <w:t xml:space="preserve">lib/src/core/services/location_service.dart</w:t>
      </w:r>
      <w:r>
        <w:rPr>
          <w:sz w:val="20"/>
          <w:szCs w:val="20"/>
        </w:rPr>
        <w:t xml:space="preserve">  →  class LocationService — permisos y lectura de GPS</w:t>
      </w:r>
    </w:p>
    <w:p>
      <w:pPr>
        <w:spacing w:after="70"/>
        <w:ind w:left="200"/>
      </w:pPr>
      <w:r>
        <w:rPr>
          <w:rFonts w:ascii="Consolas" w:cs="Consolas" w:eastAsia="Consolas" w:hAnsi="Consolas"/>
          <w:b/>
          <w:bCs/>
          <w:color w:val="1B5E20"/>
          <w:sz w:val="19"/>
          <w:szCs w:val="19"/>
        </w:rPr>
        <w:t xml:space="preserve">lib/src/core/widgets/adaptive_navigation_scaffold.dart</w:t>
      </w:r>
      <w:r>
        <w:rPr>
          <w:sz w:val="20"/>
          <w:szCs w:val="20"/>
        </w:rPr>
        <w:t xml:space="preserve">  →  class AdaptiveNavigationScaffold — alterna NavigationBar / NavigationRail</w:t>
      </w:r>
    </w:p>
    <w:p>
      <w:pPr>
        <w:spacing w:after="70"/>
        <w:ind w:left="200"/>
      </w:pPr>
      <w:r>
        <w:rPr>
          <w:rFonts w:ascii="Consolas" w:cs="Consolas" w:eastAsia="Consolas" w:hAnsi="Consolas"/>
          <w:b/>
          <w:bCs/>
          <w:color w:val="1B5E20"/>
          <w:sz w:val="19"/>
          <w:szCs w:val="19"/>
        </w:rPr>
        <w:t xml:space="preserve">lib/src/core/widgets/responsive_layout_builder.dart</w:t>
      </w:r>
      <w:r>
        <w:rPr>
          <w:sz w:val="20"/>
          <w:szCs w:val="20"/>
        </w:rPr>
        <w:t xml:space="preserve">  →  class ResponsiveLayoutBuilder — breakpoints (compacto/medio/expandido)</w:t>
      </w:r>
    </w:p>
    <w:p>
      <w:pPr>
        <w:spacing w:after="70"/>
        <w:ind w:left="200"/>
      </w:pPr>
      <w:r>
        <w:rPr>
          <w:rFonts w:ascii="Consolas" w:cs="Consolas" w:eastAsia="Consolas" w:hAnsi="Consolas"/>
          <w:b/>
          <w:bCs/>
          <w:color w:val="1B5E20"/>
          <w:sz w:val="19"/>
          <w:szCs w:val="19"/>
        </w:rPr>
        <w:t xml:space="preserve">lib/src/core/widgets/animated_risk_badge.dart</w:t>
      </w:r>
      <w:r>
        <w:rPr>
          <w:sz w:val="20"/>
          <w:szCs w:val="20"/>
        </w:rPr>
        <w:t xml:space="preserve">  →  class AnimatedRiskBadge — indicador de riesgo animado (bajo/medio/alto)</w:t>
      </w:r>
    </w:p>
    <w:p>
      <w:pPr>
        <w:spacing w:after="70"/>
        <w:ind w:left="200"/>
      </w:pPr>
      <w:r>
        <w:rPr>
          <w:rFonts w:ascii="Consolas" w:cs="Consolas" w:eastAsia="Consolas" w:hAnsi="Consolas"/>
          <w:b/>
          <w:bCs/>
          <w:color w:val="1B5E20"/>
          <w:sz w:val="19"/>
          <w:szCs w:val="19"/>
        </w:rPr>
        <w:t xml:space="preserve">lib/src/core/widgets/offline_banner.dart</w:t>
      </w:r>
      <w:r>
        <w:rPr>
          <w:sz w:val="20"/>
          <w:szCs w:val="20"/>
        </w:rPr>
        <w:t xml:space="preserve">  →  class OfflineBanner — aviso persistente de "datos en caché" cuando no hay red</w:t>
      </w:r>
    </w:p>
    <w:p>
      <w:pPr>
        <w:spacing w:after="70"/>
        <w:ind w:left="200"/>
      </w:pPr>
      <w:r>
        <w:rPr>
          <w:rFonts w:ascii="Consolas" w:cs="Consolas" w:eastAsia="Consolas" w:hAnsi="Consolas"/>
          <w:b/>
          <w:bCs/>
          <w:color w:val="1B5E20"/>
          <w:sz w:val="19"/>
          <w:szCs w:val="19"/>
        </w:rPr>
        <w:t xml:space="preserve">lib/src/core/widgets/loading_shimmer.dart</w:t>
      </w:r>
      <w:r>
        <w:rPr>
          <w:sz w:val="20"/>
          <w:szCs w:val="20"/>
        </w:rPr>
        <w:t xml:space="preserve">  →  class LoadingShimmer — esqueleto de carga animado</w:t>
      </w:r>
    </w:p>
    <w:p>
      <w:pPr>
        <w:pStyle w:val="Heading3"/>
        <w:spacing w:after="100" w:before="200"/>
      </w:pPr>
      <w:r>
        <w:t xml:space="preserve">Feature: auth (autenticación y alta)</w:t>
      </w:r>
    </w:p>
    <w:p>
      <w:pPr>
        <w:spacing w:after="70"/>
        <w:ind w:left="200"/>
      </w:pPr>
      <w:r>
        <w:rPr>
          <w:rFonts w:ascii="Consolas" w:cs="Consolas" w:eastAsia="Consolas" w:hAnsi="Consolas"/>
          <w:b/>
          <w:bCs/>
          <w:color w:val="1B5E20"/>
          <w:sz w:val="19"/>
          <w:szCs w:val="19"/>
        </w:rPr>
        <w:t xml:space="preserve">lib/src/features/auth/presentation/splash_screen.dart</w:t>
      </w:r>
      <w:r>
        <w:rPr>
          <w:sz w:val="20"/>
          <w:szCs w:val="20"/>
        </w:rPr>
        <w:t xml:space="preserve">  →  class SplashScreen — carga de sesión e inicialización de Isar</w:t>
      </w:r>
    </w:p>
    <w:p>
      <w:pPr>
        <w:spacing w:after="70"/>
        <w:ind w:left="200"/>
      </w:pPr>
      <w:r>
        <w:rPr>
          <w:rFonts w:ascii="Consolas" w:cs="Consolas" w:eastAsia="Consolas" w:hAnsi="Consolas"/>
          <w:b/>
          <w:bCs/>
          <w:color w:val="1B5E20"/>
          <w:sz w:val="19"/>
          <w:szCs w:val="19"/>
        </w:rPr>
        <w:t xml:space="preserve">lib/src/features/auth/presentation/onboarding_screen.dart</w:t>
      </w:r>
      <w:r>
        <w:rPr>
          <w:sz w:val="20"/>
          <w:szCs w:val="20"/>
        </w:rPr>
        <w:t xml:space="preserve">  →  class OnboardingScreen — selección inicial de cultivos y comarca</w:t>
      </w:r>
    </w:p>
    <w:p>
      <w:pPr>
        <w:spacing w:after="70"/>
        <w:ind w:left="200"/>
      </w:pPr>
      <w:r>
        <w:rPr>
          <w:rFonts w:ascii="Consolas" w:cs="Consolas" w:eastAsia="Consolas" w:hAnsi="Consolas"/>
          <w:b/>
          <w:bCs/>
          <w:color w:val="1B5E20"/>
          <w:sz w:val="19"/>
          <w:szCs w:val="19"/>
        </w:rPr>
        <w:t xml:space="preserve">lib/src/features/auth/presentation/login_screen.dart</w:t>
      </w:r>
      <w:r>
        <w:rPr>
          <w:sz w:val="20"/>
          <w:szCs w:val="20"/>
        </w:rPr>
        <w:t xml:space="preserve">  →  class LoginScreen — Google, Apple, acceso anónimo</w:t>
      </w:r>
    </w:p>
    <w:p>
      <w:pPr>
        <w:spacing w:after="70"/>
        <w:ind w:left="200"/>
      </w:pPr>
      <w:r>
        <w:rPr>
          <w:rFonts w:ascii="Consolas" w:cs="Consolas" w:eastAsia="Consolas" w:hAnsi="Consolas"/>
          <w:b/>
          <w:bCs/>
          <w:color w:val="1B5E20"/>
          <w:sz w:val="19"/>
          <w:szCs w:val="19"/>
        </w:rPr>
        <w:t xml:space="preserve">lib/src/features/auth/domain/user_model.dart</w:t>
      </w:r>
      <w:r>
        <w:rPr>
          <w:sz w:val="20"/>
          <w:szCs w:val="20"/>
        </w:rPr>
        <w:t xml:space="preserve">  →  class UserModel — perfil, cultivos de interés, comarca</w:t>
      </w:r>
    </w:p>
    <w:p>
      <w:pPr>
        <w:spacing w:after="70"/>
        <w:ind w:left="200"/>
      </w:pPr>
      <w:r>
        <w:rPr>
          <w:rFonts w:ascii="Consolas" w:cs="Consolas" w:eastAsia="Consolas" w:hAnsi="Consolas"/>
          <w:b/>
          <w:bCs/>
          <w:color w:val="1B5E20"/>
          <w:sz w:val="19"/>
          <w:szCs w:val="19"/>
        </w:rPr>
        <w:t xml:space="preserve">lib/src/features/auth/data/auth_repository.dart</w:t>
      </w:r>
      <w:r>
        <w:rPr>
          <w:sz w:val="20"/>
          <w:szCs w:val="20"/>
        </w:rPr>
        <w:t xml:space="preserve">  →  class AuthRepository — Firebase Auth</w:t>
      </w:r>
    </w:p>
    <w:p>
      <w:pPr>
        <w:pStyle w:val="Heading3"/>
        <w:spacing w:after="100" w:before="200"/>
      </w:pPr>
      <w:r>
        <w:t xml:space="preserve">Feature: home (panel principal)</w:t>
      </w:r>
    </w:p>
    <w:p>
      <w:pPr>
        <w:spacing w:after="70"/>
        <w:ind w:left="200"/>
      </w:pPr>
      <w:r>
        <w:rPr>
          <w:rFonts w:ascii="Consolas" w:cs="Consolas" w:eastAsia="Consolas" w:hAnsi="Consolas"/>
          <w:b/>
          <w:bCs/>
          <w:color w:val="1B5E20"/>
          <w:sz w:val="19"/>
          <w:szCs w:val="19"/>
        </w:rPr>
        <w:t xml:space="preserve">lib/src/features/home/presentation/home_screen.dart</w:t>
      </w:r>
      <w:r>
        <w:rPr>
          <w:sz w:val="20"/>
          <w:szCs w:val="20"/>
        </w:rPr>
        <w:t xml:space="preserve">  →  class HomeScreen — resumen: clima, avisos activos por parcela</w:t>
      </w:r>
    </w:p>
    <w:p>
      <w:pPr>
        <w:spacing w:after="70"/>
        <w:ind w:left="200"/>
      </w:pPr>
      <w:r>
        <w:rPr>
          <w:rFonts w:ascii="Consolas" w:cs="Consolas" w:eastAsia="Consolas" w:hAnsi="Consolas"/>
          <w:b/>
          <w:bCs/>
          <w:color w:val="1B5E20"/>
          <w:sz w:val="19"/>
          <w:szCs w:val="19"/>
        </w:rPr>
        <w:t xml:space="preserve">lib/src/features/home/presentation/widgets/weather_summary_card.dart</w:t>
      </w:r>
      <w:r>
        <w:rPr>
          <w:sz w:val="20"/>
          <w:szCs w:val="20"/>
        </w:rPr>
        <w:t xml:space="preserve">  →  class WeatherSummaryCard</w:t>
      </w:r>
    </w:p>
    <w:p>
      <w:pPr>
        <w:spacing w:after="70"/>
        <w:ind w:left="200"/>
      </w:pPr>
      <w:r>
        <w:rPr>
          <w:rFonts w:ascii="Consolas" w:cs="Consolas" w:eastAsia="Consolas" w:hAnsi="Consolas"/>
          <w:b/>
          <w:bCs/>
          <w:color w:val="1B5E20"/>
          <w:sz w:val="19"/>
          <w:szCs w:val="19"/>
        </w:rPr>
        <w:t xml:space="preserve">lib/src/features/home/presentation/widgets/active_alerts_carousel.dart</w:t>
      </w:r>
      <w:r>
        <w:rPr>
          <w:sz w:val="20"/>
          <w:szCs w:val="20"/>
        </w:rPr>
        <w:t xml:space="preserve">  →  class ActiveAlertsCarousel — animación Shared Axis entre tarjetas</w:t>
      </w:r>
    </w:p>
    <w:p>
      <w:pPr>
        <w:pStyle w:val="Heading3"/>
        <w:spacing w:after="100" w:before="200"/>
      </w:pPr>
      <w:r>
        <w:t xml:space="preserve">Feature: parcels (parcelas)</w:t>
      </w:r>
    </w:p>
    <w:p>
      <w:pPr>
        <w:spacing w:after="70"/>
        <w:ind w:left="200"/>
      </w:pPr>
      <w:r>
        <w:rPr>
          <w:rFonts w:ascii="Consolas" w:cs="Consolas" w:eastAsia="Consolas" w:hAnsi="Consolas"/>
          <w:b/>
          <w:bCs/>
          <w:color w:val="1B5E20"/>
          <w:sz w:val="19"/>
          <w:szCs w:val="19"/>
        </w:rPr>
        <w:t xml:space="preserve">lib/src/features/parcels/presentation/parcel_list_screen.dart</w:t>
      </w:r>
      <w:r>
        <w:rPr>
          <w:sz w:val="20"/>
          <w:szCs w:val="20"/>
        </w:rPr>
        <w:t xml:space="preserve">  →  class ParcelListScreen — listado responsivo (lista / cuadrícula)</w:t>
      </w:r>
    </w:p>
    <w:p>
      <w:pPr>
        <w:spacing w:after="70"/>
        <w:ind w:left="200"/>
      </w:pPr>
      <w:r>
        <w:rPr>
          <w:rFonts w:ascii="Consolas" w:cs="Consolas" w:eastAsia="Consolas" w:hAnsi="Consolas"/>
          <w:b/>
          <w:bCs/>
          <w:color w:val="1B5E20"/>
          <w:sz w:val="19"/>
          <w:szCs w:val="19"/>
        </w:rPr>
        <w:t xml:space="preserve">lib/src/features/parcels/presentation/parcel_form_screen.dart</w:t>
      </w:r>
      <w:r>
        <w:rPr>
          <w:sz w:val="20"/>
          <w:szCs w:val="20"/>
        </w:rPr>
        <w:t xml:space="preserve">  →  class ParcelFormScreen — alta simplificada: punto GPS + radio o dibujo manual ligero</w:t>
      </w:r>
    </w:p>
    <w:p>
      <w:pPr>
        <w:spacing w:after="70"/>
        <w:ind w:left="200"/>
      </w:pPr>
      <w:r>
        <w:rPr>
          <w:rFonts w:ascii="Consolas" w:cs="Consolas" w:eastAsia="Consolas" w:hAnsi="Consolas"/>
          <w:b/>
          <w:bCs/>
          <w:color w:val="1B5E20"/>
          <w:sz w:val="19"/>
          <w:szCs w:val="19"/>
        </w:rPr>
        <w:t xml:space="preserve">lib/src/features/parcels/presentation/parcel_detail_screen.dart</w:t>
      </w:r>
      <w:r>
        <w:rPr>
          <w:sz w:val="20"/>
          <w:szCs w:val="20"/>
        </w:rPr>
        <w:t xml:space="preserve">  →  class ParcelDetailScreen — histórico de avisos y clima de la parcela</w:t>
      </w:r>
    </w:p>
    <w:p>
      <w:pPr>
        <w:spacing w:after="70"/>
        <w:ind w:left="200"/>
      </w:pPr>
      <w:r>
        <w:rPr>
          <w:rFonts w:ascii="Consolas" w:cs="Consolas" w:eastAsia="Consolas" w:hAnsi="Consolas"/>
          <w:b/>
          <w:bCs/>
          <w:color w:val="1B5E20"/>
          <w:sz w:val="19"/>
          <w:szCs w:val="19"/>
        </w:rPr>
        <w:t xml:space="preserve">lib/src/features/parcels/presentation/widgets/parcel_card.dart</w:t>
      </w:r>
      <w:r>
        <w:rPr>
          <w:sz w:val="20"/>
          <w:szCs w:val="20"/>
        </w:rPr>
        <w:t xml:space="preserve">  →  class ParcelCard</w:t>
      </w:r>
    </w:p>
    <w:p>
      <w:pPr>
        <w:spacing w:after="70"/>
        <w:ind w:left="200"/>
      </w:pPr>
      <w:r>
        <w:rPr>
          <w:rFonts w:ascii="Consolas" w:cs="Consolas" w:eastAsia="Consolas" w:hAnsi="Consolas"/>
          <w:b/>
          <w:bCs/>
          <w:color w:val="1B5E20"/>
          <w:sz w:val="19"/>
          <w:szCs w:val="19"/>
        </w:rPr>
        <w:t xml:space="preserve">lib/src/features/parcels/domain/parcel_model.dart</w:t>
      </w:r>
      <w:r>
        <w:rPr>
          <w:sz w:val="20"/>
          <w:szCs w:val="20"/>
        </w:rPr>
        <w:t xml:space="preserve">  →  class ParcelModel — entidad Isar (ver sección 7)</w:t>
      </w:r>
    </w:p>
    <w:p>
      <w:pPr>
        <w:spacing w:after="70"/>
        <w:ind w:left="200"/>
      </w:pPr>
      <w:r>
        <w:rPr>
          <w:rFonts w:ascii="Consolas" w:cs="Consolas" w:eastAsia="Consolas" w:hAnsi="Consolas"/>
          <w:b/>
          <w:bCs/>
          <w:color w:val="1B5E20"/>
          <w:sz w:val="19"/>
          <w:szCs w:val="19"/>
        </w:rPr>
        <w:t xml:space="preserve">lib/src/features/parcels/data/parcel_repository.dart</w:t>
      </w:r>
      <w:r>
        <w:rPr>
          <w:sz w:val="20"/>
          <w:szCs w:val="20"/>
        </w:rPr>
        <w:t xml:space="preserve">  →  class ParcelRepository — CRUD contra API propia + caché Isar</w:t>
      </w:r>
    </w:p>
    <w:p>
      <w:pPr>
        <w:pStyle w:val="Heading3"/>
        <w:spacing w:after="100" w:before="200"/>
      </w:pPr>
      <w:r>
        <w:t xml:space="preserve">Feature: disease_alerts (núcleo del producto)</w:t>
      </w:r>
    </w:p>
    <w:p>
      <w:pPr>
        <w:spacing w:after="70"/>
        <w:ind w:left="200"/>
      </w:pPr>
      <w:r>
        <w:rPr>
          <w:rFonts w:ascii="Consolas" w:cs="Consolas" w:eastAsia="Consolas" w:hAnsi="Consolas"/>
          <w:b/>
          <w:bCs/>
          <w:color w:val="1B5E20"/>
          <w:sz w:val="19"/>
          <w:szCs w:val="19"/>
        </w:rPr>
        <w:t xml:space="preserve">lib/src/features/disease_alerts/presentation/alerts_screen.dart</w:t>
      </w:r>
      <w:r>
        <w:rPr>
          <w:sz w:val="20"/>
          <w:szCs w:val="20"/>
        </w:rPr>
        <w:t xml:space="preserve">  →  class AlertsScreen — listado de avisos activos por parcela/cultivo</w:t>
      </w:r>
    </w:p>
    <w:p>
      <w:pPr>
        <w:spacing w:after="70"/>
        <w:ind w:left="200"/>
      </w:pPr>
      <w:r>
        <w:rPr>
          <w:rFonts w:ascii="Consolas" w:cs="Consolas" w:eastAsia="Consolas" w:hAnsi="Consolas"/>
          <w:b/>
          <w:bCs/>
          <w:color w:val="1B5E20"/>
          <w:sz w:val="19"/>
          <w:szCs w:val="19"/>
        </w:rPr>
        <w:t xml:space="preserve">lib/src/features/disease_alerts/presentation/alert_detail_screen.dart</w:t>
      </w:r>
      <w:r>
        <w:rPr>
          <w:sz w:val="20"/>
          <w:szCs w:val="20"/>
        </w:rPr>
        <w:t xml:space="preserve">  →  class AlertDetailScreen — detalle del riesgo, variables usadas y recomendación</w:t>
      </w:r>
    </w:p>
    <w:p>
      <w:pPr>
        <w:spacing w:after="70"/>
        <w:ind w:left="200"/>
      </w:pPr>
      <w:r>
        <w:rPr>
          <w:rFonts w:ascii="Consolas" w:cs="Consolas" w:eastAsia="Consolas" w:hAnsi="Consolas"/>
          <w:b/>
          <w:bCs/>
          <w:color w:val="1B5E20"/>
          <w:sz w:val="19"/>
          <w:szCs w:val="19"/>
        </w:rPr>
        <w:t xml:space="preserve">lib/src/features/disease_alerts/presentation/widgets/risk_gauge_widget.dart</w:t>
      </w:r>
      <w:r>
        <w:rPr>
          <w:sz w:val="20"/>
          <w:szCs w:val="20"/>
        </w:rPr>
        <w:t xml:space="preserve">  →  class RiskGaugeWidget — medidor circular animado (TweenAnimationBuilder)</w:t>
      </w:r>
    </w:p>
    <w:p>
      <w:pPr>
        <w:spacing w:after="70"/>
        <w:ind w:left="200"/>
      </w:pPr>
      <w:r>
        <w:rPr>
          <w:rFonts w:ascii="Consolas" w:cs="Consolas" w:eastAsia="Consolas" w:hAnsi="Consolas"/>
          <w:b/>
          <w:bCs/>
          <w:color w:val="1B5E20"/>
          <w:sz w:val="19"/>
          <w:szCs w:val="19"/>
        </w:rPr>
        <w:t xml:space="preserve">lib/src/features/disease_alerts/presentation/widgets/risk_timeline_chart.dart</w:t>
      </w:r>
      <w:r>
        <w:rPr>
          <w:sz w:val="20"/>
          <w:szCs w:val="20"/>
        </w:rPr>
        <w:t xml:space="preserve">  →  class RiskTimelineChart — evolución del riesgo (fl_chart)</w:t>
      </w:r>
    </w:p>
    <w:p>
      <w:pPr>
        <w:spacing w:after="70"/>
        <w:ind w:left="200"/>
      </w:pPr>
      <w:r>
        <w:rPr>
          <w:rFonts w:ascii="Consolas" w:cs="Consolas" w:eastAsia="Consolas" w:hAnsi="Consolas"/>
          <w:b/>
          <w:bCs/>
          <w:color w:val="1B5E20"/>
          <w:sz w:val="19"/>
          <w:szCs w:val="19"/>
        </w:rPr>
        <w:t xml:space="preserve">lib/src/features/disease_alerts/domain/disease_risk_model.dart</w:t>
      </w:r>
      <w:r>
        <w:rPr>
          <w:sz w:val="20"/>
          <w:szCs w:val="20"/>
        </w:rPr>
        <w:t xml:space="preserve">  →  class DiseaseRiskModel — entidad Isar de caché de avisos</w:t>
      </w:r>
    </w:p>
    <w:p>
      <w:pPr>
        <w:spacing w:after="70"/>
        <w:ind w:left="200"/>
      </w:pPr>
      <w:r>
        <w:rPr>
          <w:rFonts w:ascii="Consolas" w:cs="Consolas" w:eastAsia="Consolas" w:hAnsi="Consolas"/>
          <w:b/>
          <w:bCs/>
          <w:color w:val="1B5E20"/>
          <w:sz w:val="19"/>
          <w:szCs w:val="19"/>
        </w:rPr>
        <w:t xml:space="preserve">lib/src/features/disease_alerts/data/disease_alerts_repository.dart</w:t>
      </w:r>
      <w:r>
        <w:rPr>
          <w:sz w:val="20"/>
          <w:szCs w:val="20"/>
        </w:rPr>
        <w:t xml:space="preserve">  →  class DiseaseAlertsRepository — consumo de /api/v1/disease-risk</w:t>
      </w:r>
    </w:p>
    <w:p>
      <w:pPr>
        <w:pStyle w:val="Heading3"/>
        <w:spacing w:after="100" w:before="200"/>
      </w:pPr>
      <w:r>
        <w:t xml:space="preserve">Feature: phytosanitary (buscador de producto autorizado)</w:t>
      </w:r>
    </w:p>
    <w:p>
      <w:pPr>
        <w:spacing w:after="70"/>
        <w:ind w:left="200"/>
      </w:pPr>
      <w:r>
        <w:rPr>
          <w:rFonts w:ascii="Consolas" w:cs="Consolas" w:eastAsia="Consolas" w:hAnsi="Consolas"/>
          <w:b/>
          <w:bCs/>
          <w:color w:val="1B5E20"/>
          <w:sz w:val="19"/>
          <w:szCs w:val="19"/>
        </w:rPr>
        <w:t xml:space="preserve">lib/src/features/phytosanitary/presentation/product_finder_screen.dart</w:t>
      </w:r>
      <w:r>
        <w:rPr>
          <w:sz w:val="20"/>
          <w:szCs w:val="20"/>
        </w:rPr>
        <w:t xml:space="preserve">  →  class ProductFinderScreen — filtro por cultivo/plaga/sustancia</w:t>
      </w:r>
    </w:p>
    <w:p>
      <w:pPr>
        <w:spacing w:after="70"/>
        <w:ind w:left="200"/>
      </w:pPr>
      <w:r>
        <w:rPr>
          <w:rFonts w:ascii="Consolas" w:cs="Consolas" w:eastAsia="Consolas" w:hAnsi="Consolas"/>
          <w:b/>
          <w:bCs/>
          <w:color w:val="1B5E20"/>
          <w:sz w:val="19"/>
          <w:szCs w:val="19"/>
        </w:rPr>
        <w:t xml:space="preserve">lib/src/features/phytosanitary/presentation/product_detail_screen.dart</w:t>
      </w:r>
      <w:r>
        <w:rPr>
          <w:sz w:val="20"/>
          <w:szCs w:val="20"/>
        </w:rPr>
        <w:t xml:space="preserve">  →  class ProductDetailScreen — dosis, plazo de seguridad, aviso legal</w:t>
      </w:r>
    </w:p>
    <w:p>
      <w:pPr>
        <w:spacing w:after="70"/>
        <w:ind w:left="200"/>
      </w:pPr>
      <w:r>
        <w:rPr>
          <w:rFonts w:ascii="Consolas" w:cs="Consolas" w:eastAsia="Consolas" w:hAnsi="Consolas"/>
          <w:b/>
          <w:bCs/>
          <w:color w:val="1B5E20"/>
          <w:sz w:val="19"/>
          <w:szCs w:val="19"/>
        </w:rPr>
        <w:t xml:space="preserve">lib/src/features/phytosanitary/domain/phyto_product_model.dart</w:t>
      </w:r>
      <w:r>
        <w:rPr>
          <w:sz w:val="20"/>
          <w:szCs w:val="20"/>
        </w:rPr>
        <w:t xml:space="preserve">  →  class PhytoProductModel</w:t>
      </w:r>
    </w:p>
    <w:p>
      <w:pPr>
        <w:spacing w:after="70"/>
        <w:ind w:left="200"/>
      </w:pPr>
      <w:r>
        <w:rPr>
          <w:rFonts w:ascii="Consolas" w:cs="Consolas" w:eastAsia="Consolas" w:hAnsi="Consolas"/>
          <w:b/>
          <w:bCs/>
          <w:color w:val="1B5E20"/>
          <w:sz w:val="19"/>
          <w:szCs w:val="19"/>
        </w:rPr>
        <w:t xml:space="preserve">lib/src/features/phytosanitary/data/phyto_repository.dart</w:t>
      </w:r>
      <w:r>
        <w:rPr>
          <w:sz w:val="20"/>
          <w:szCs w:val="20"/>
        </w:rPr>
        <w:t xml:space="preserve">  →  class PhytoRepository</w:t>
      </w:r>
    </w:p>
    <w:p>
      <w:pPr>
        <w:pStyle w:val="Heading3"/>
        <w:spacing w:after="100" w:before="200"/>
      </w:pPr>
      <w:r>
        <w:t xml:space="preserve">Feature: field_reports (telemetría de campo — prepara la Fase 3)</w:t>
      </w:r>
    </w:p>
    <w:p>
      <w:pPr>
        <w:spacing w:after="70"/>
        <w:ind w:left="200"/>
      </w:pPr>
      <w:r>
        <w:rPr>
          <w:rFonts w:ascii="Consolas" w:cs="Consolas" w:eastAsia="Consolas" w:hAnsi="Consolas"/>
          <w:b/>
          <w:bCs/>
          <w:color w:val="1B5E20"/>
          <w:sz w:val="19"/>
          <w:szCs w:val="19"/>
        </w:rPr>
        <w:t xml:space="preserve">lib/src/features/field_reports/presentation/report_form_screen.dart</w:t>
      </w:r>
      <w:r>
        <w:rPr>
          <w:sz w:val="20"/>
          <w:szCs w:val="20"/>
        </w:rPr>
        <w:t xml:space="preserve">  →  class ReportFormScreen — captura de trampa/foto/síntoma georreferenciado</w:t>
      </w:r>
    </w:p>
    <w:p>
      <w:pPr>
        <w:spacing w:after="70"/>
        <w:ind w:left="200"/>
      </w:pPr>
      <w:r>
        <w:rPr>
          <w:rFonts w:ascii="Consolas" w:cs="Consolas" w:eastAsia="Consolas" w:hAnsi="Consolas"/>
          <w:b/>
          <w:bCs/>
          <w:color w:val="1B5E20"/>
          <w:sz w:val="19"/>
          <w:szCs w:val="19"/>
        </w:rPr>
        <w:t xml:space="preserve">lib/src/features/field_reports/domain/field_report_model.dart</w:t>
      </w:r>
      <w:r>
        <w:rPr>
          <w:sz w:val="20"/>
          <w:szCs w:val="20"/>
        </w:rPr>
        <w:t xml:space="preserve">  →  class FieldReportModel</w:t>
      </w:r>
    </w:p>
    <w:p>
      <w:pPr>
        <w:spacing w:after="70"/>
        <w:ind w:left="200"/>
      </w:pPr>
      <w:r>
        <w:rPr>
          <w:rFonts w:ascii="Consolas" w:cs="Consolas" w:eastAsia="Consolas" w:hAnsi="Consolas"/>
          <w:b/>
          <w:bCs/>
          <w:color w:val="1B5E20"/>
          <w:sz w:val="19"/>
          <w:szCs w:val="19"/>
        </w:rPr>
        <w:t xml:space="preserve">lib/src/features/field_reports/data/field_reports_repository.dart</w:t>
      </w:r>
      <w:r>
        <w:rPr>
          <w:sz w:val="20"/>
          <w:szCs w:val="20"/>
        </w:rPr>
        <w:t xml:space="preserve">  →  class FieldReportsRepository — cola de envío diferido si no hay red</w:t>
      </w:r>
    </w:p>
    <w:p>
      <w:pPr>
        <w:pStyle w:val="Heading3"/>
        <w:spacing w:after="100" w:before="200"/>
      </w:pPr>
      <w:r>
        <w:t xml:space="preserve">Feature: settings</w:t>
      </w:r>
    </w:p>
    <w:p>
      <w:pPr>
        <w:spacing w:after="70"/>
        <w:ind w:left="200"/>
      </w:pPr>
      <w:r>
        <w:rPr>
          <w:rFonts w:ascii="Consolas" w:cs="Consolas" w:eastAsia="Consolas" w:hAnsi="Consolas"/>
          <w:b/>
          <w:bCs/>
          <w:color w:val="1B5E20"/>
          <w:sz w:val="19"/>
          <w:szCs w:val="19"/>
        </w:rPr>
        <w:t xml:space="preserve">lib/src/features/settings/presentation/settings_screen.dart</w:t>
      </w:r>
      <w:r>
        <w:rPr>
          <w:sz w:val="20"/>
          <w:szCs w:val="20"/>
        </w:rPr>
        <w:t xml:space="preserve">  →  class SettingsScreen</w:t>
      </w:r>
    </w:p>
    <w:p>
      <w:pPr>
        <w:spacing w:after="70"/>
        <w:ind w:left="200"/>
      </w:pPr>
      <w:r>
        <w:rPr>
          <w:rFonts w:ascii="Consolas" w:cs="Consolas" w:eastAsia="Consolas" w:hAnsi="Consolas"/>
          <w:b/>
          <w:bCs/>
          <w:color w:val="1B5E20"/>
          <w:sz w:val="19"/>
          <w:szCs w:val="19"/>
        </w:rPr>
        <w:t xml:space="preserve">lib/src/features/settings/presentation/notification_preferences_screen.dart</w:t>
      </w:r>
      <w:r>
        <w:rPr>
          <w:sz w:val="20"/>
          <w:szCs w:val="20"/>
        </w:rPr>
        <w:t xml:space="preserve">  →  class NotificationPreferencesScreen — por cultivo/parcela/severidad</w:t>
      </w:r>
    </w:p>
    <w:p>
      <w:pPr>
        <w:pStyle w:val="Heading1"/>
        <w:spacing w:after="200" w:before="400"/>
      </w:pPr>
      <w:r>
        <w:t xml:space="preserve">6. Catálogo de rutas (go_router)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8%"/>
            <w:shd w:fill="2E7D32" w:color="2E7D32" w:val="clear"/>
            <w:tcMar>
              <w:top w:type="dxa" w:w="80"/>
              <w:left w:type="dxa" w:w="100"/>
              <w:bottom w:type="dxa" w:w="80"/>
              <w:right w:type="dxa" w:w="100"/>
            </w:tcMar>
          </w:tcPr>
          <w:p>
            <w:r>
              <w:rPr>
                <w:b/>
                <w:bCs/>
                <w:color w:val="FFFFFF"/>
                <w:sz w:val="19"/>
                <w:szCs w:val="19"/>
              </w:rPr>
              <w:t xml:space="preserve">Ruta</w:t>
            </w:r>
          </w:p>
        </w:tc>
        <w:tc>
          <w:tcPr>
            <w:tcW w:type="pct" w:w="20%"/>
            <w:shd w:fill="2E7D32" w:color="2E7D32" w:val="clear"/>
            <w:tcMar>
              <w:top w:type="dxa" w:w="80"/>
              <w:left w:type="dxa" w:w="100"/>
              <w:bottom w:type="dxa" w:w="80"/>
              <w:right w:type="dxa" w:w="100"/>
            </w:tcMar>
          </w:tcPr>
          <w:p>
            <w:r>
              <w:rPr>
                <w:b/>
                <w:bCs/>
                <w:color w:val="FFFFFF"/>
                <w:sz w:val="19"/>
                <w:szCs w:val="19"/>
              </w:rPr>
              <w:t xml:space="preserve">Nombre</w:t>
            </w:r>
          </w:p>
        </w:tc>
        <w:tc>
          <w:tcPr>
            <w:tcW w:type="pct" w:w="32%"/>
            <w:shd w:fill="2E7D32" w:color="2E7D32" w:val="clear"/>
            <w:tcMar>
              <w:top w:type="dxa" w:w="80"/>
              <w:left w:type="dxa" w:w="100"/>
              <w:bottom w:type="dxa" w:w="80"/>
              <w:right w:type="dxa" w:w="100"/>
            </w:tcMar>
          </w:tcPr>
          <w:p>
            <w:r>
              <w:rPr>
                <w:b/>
                <w:bCs/>
                <w:color w:val="FFFFFF"/>
                <w:sz w:val="19"/>
                <w:szCs w:val="19"/>
              </w:rPr>
              <w:t xml:space="preserve">Pantalla</w:t>
            </w:r>
          </w:p>
        </w:tc>
        <w:tc>
          <w:tcPr>
            <w:tcW w:type="pct" w:w="30%"/>
            <w:shd w:fill="2E7D32" w:color="2E7D32" w:val="clear"/>
            <w:tcMar>
              <w:top w:type="dxa" w:w="80"/>
              <w:left w:type="dxa" w:w="100"/>
              <w:bottom w:type="dxa" w:w="80"/>
              <w:right w:type="dxa" w:w="100"/>
            </w:tcMar>
          </w:tcPr>
          <w:p>
            <w:r>
              <w:rPr>
                <w:b/>
                <w:bCs/>
                <w:color w:val="FFFFFF"/>
                <w:sz w:val="19"/>
                <w:szCs w:val="19"/>
              </w:rPr>
              <w:t xml:space="preserve">Acceso</w:t>
            </w:r>
          </w:p>
        </w:tc>
      </w:tr>
      <w:tr>
        <w:tc>
          <w:tcPr>
            <w:tcW w:type="pct" w:w="18%"/>
            <w:tcMar>
              <w:top w:type="dxa" w:w="80"/>
              <w:left w:type="dxa" w:w="100"/>
              <w:bottom w:type="dxa" w:w="80"/>
              <w:right w:type="dxa" w:w="100"/>
            </w:tcMar>
          </w:tcPr>
          <w:p>
            <w:r>
              <w:rPr>
                <w:b w:val="false"/>
                <w:bCs w:val="false"/>
                <w:color w:val="000000"/>
                <w:sz w:val="19"/>
                <w:szCs w:val="19"/>
              </w:rPr>
              <w:t xml:space="preserve">/</w:t>
            </w:r>
          </w:p>
        </w:tc>
        <w:tc>
          <w:tcPr>
            <w:tcW w:type="pct" w:w="20%"/>
            <w:tcMar>
              <w:top w:type="dxa" w:w="80"/>
              <w:left w:type="dxa" w:w="100"/>
              <w:bottom w:type="dxa" w:w="80"/>
              <w:right w:type="dxa" w:w="100"/>
            </w:tcMar>
          </w:tcPr>
          <w:p>
            <w:r>
              <w:rPr>
                <w:b w:val="false"/>
                <w:bCs w:val="false"/>
                <w:color w:val="000000"/>
                <w:sz w:val="19"/>
                <w:szCs w:val="19"/>
              </w:rPr>
              <w:t xml:space="preserve">splash</w:t>
            </w:r>
          </w:p>
        </w:tc>
        <w:tc>
          <w:tcPr>
            <w:tcW w:type="pct" w:w="32%"/>
            <w:tcMar>
              <w:top w:type="dxa" w:w="80"/>
              <w:left w:type="dxa" w:w="100"/>
              <w:bottom w:type="dxa" w:w="80"/>
              <w:right w:type="dxa" w:w="100"/>
            </w:tcMar>
          </w:tcPr>
          <w:p>
            <w:r>
              <w:rPr>
                <w:b w:val="false"/>
                <w:bCs w:val="false"/>
                <w:color w:val="000000"/>
                <w:sz w:val="19"/>
                <w:szCs w:val="19"/>
              </w:rPr>
              <w:t xml:space="preserve">SplashScreen</w:t>
            </w:r>
          </w:p>
        </w:tc>
        <w:tc>
          <w:tcPr>
            <w:tcW w:type="pct" w:w="30%"/>
            <w:tcMar>
              <w:top w:type="dxa" w:w="80"/>
              <w:left w:type="dxa" w:w="100"/>
              <w:bottom w:type="dxa" w:w="80"/>
              <w:right w:type="dxa" w:w="100"/>
            </w:tcMar>
          </w:tcPr>
          <w:p>
            <w:r>
              <w:rPr>
                <w:b w:val="false"/>
                <w:bCs w:val="false"/>
                <w:color w:val="000000"/>
                <w:sz w:val="19"/>
                <w:szCs w:val="19"/>
              </w:rPr>
              <w:t xml:space="preserve">Público</w:t>
            </w:r>
          </w:p>
        </w:tc>
      </w:tr>
      <w:tr>
        <w:tc>
          <w:tcPr>
            <w:tcW w:type="pct" w:w="18%"/>
            <w:tcMar>
              <w:top w:type="dxa" w:w="80"/>
              <w:left w:type="dxa" w:w="100"/>
              <w:bottom w:type="dxa" w:w="80"/>
              <w:right w:type="dxa" w:w="100"/>
            </w:tcMar>
          </w:tcPr>
          <w:p>
            <w:r>
              <w:rPr>
                <w:b w:val="false"/>
                <w:bCs w:val="false"/>
                <w:color w:val="000000"/>
                <w:sz w:val="19"/>
                <w:szCs w:val="19"/>
              </w:rPr>
              <w:t xml:space="preserve">/onboarding</w:t>
            </w:r>
          </w:p>
        </w:tc>
        <w:tc>
          <w:tcPr>
            <w:tcW w:type="pct" w:w="20%"/>
            <w:tcMar>
              <w:top w:type="dxa" w:w="80"/>
              <w:left w:type="dxa" w:w="100"/>
              <w:bottom w:type="dxa" w:w="80"/>
              <w:right w:type="dxa" w:w="100"/>
            </w:tcMar>
          </w:tcPr>
          <w:p>
            <w:r>
              <w:rPr>
                <w:b w:val="false"/>
                <w:bCs w:val="false"/>
                <w:color w:val="000000"/>
                <w:sz w:val="19"/>
                <w:szCs w:val="19"/>
              </w:rPr>
              <w:t xml:space="preserve">onboarding</w:t>
            </w:r>
          </w:p>
        </w:tc>
        <w:tc>
          <w:tcPr>
            <w:tcW w:type="pct" w:w="32%"/>
            <w:tcMar>
              <w:top w:type="dxa" w:w="80"/>
              <w:left w:type="dxa" w:w="100"/>
              <w:bottom w:type="dxa" w:w="80"/>
              <w:right w:type="dxa" w:w="100"/>
            </w:tcMar>
          </w:tcPr>
          <w:p>
            <w:r>
              <w:rPr>
                <w:b w:val="false"/>
                <w:bCs w:val="false"/>
                <w:color w:val="000000"/>
                <w:sz w:val="19"/>
                <w:szCs w:val="19"/>
              </w:rPr>
              <w:t xml:space="preserve">OnboardingScreen</w:t>
            </w:r>
          </w:p>
        </w:tc>
        <w:tc>
          <w:tcPr>
            <w:tcW w:type="pct" w:w="30%"/>
            <w:tcMar>
              <w:top w:type="dxa" w:w="80"/>
              <w:left w:type="dxa" w:w="100"/>
              <w:bottom w:type="dxa" w:w="80"/>
              <w:right w:type="dxa" w:w="100"/>
            </w:tcMar>
          </w:tcPr>
          <w:p>
            <w:r>
              <w:rPr>
                <w:b w:val="false"/>
                <w:bCs w:val="false"/>
                <w:color w:val="000000"/>
                <w:sz w:val="19"/>
                <w:szCs w:val="19"/>
              </w:rPr>
              <w:t xml:space="preserve">Público</w:t>
            </w:r>
          </w:p>
        </w:tc>
      </w:tr>
      <w:tr>
        <w:tc>
          <w:tcPr>
            <w:tcW w:type="pct" w:w="18%"/>
            <w:tcMar>
              <w:top w:type="dxa" w:w="80"/>
              <w:left w:type="dxa" w:w="100"/>
              <w:bottom w:type="dxa" w:w="80"/>
              <w:right w:type="dxa" w:w="100"/>
            </w:tcMar>
          </w:tcPr>
          <w:p>
            <w:r>
              <w:rPr>
                <w:b w:val="false"/>
                <w:bCs w:val="false"/>
                <w:color w:val="000000"/>
                <w:sz w:val="19"/>
                <w:szCs w:val="19"/>
              </w:rPr>
              <w:t xml:space="preserve">/login</w:t>
            </w:r>
          </w:p>
        </w:tc>
        <w:tc>
          <w:tcPr>
            <w:tcW w:type="pct" w:w="20%"/>
            <w:tcMar>
              <w:top w:type="dxa" w:w="80"/>
              <w:left w:type="dxa" w:w="100"/>
              <w:bottom w:type="dxa" w:w="80"/>
              <w:right w:type="dxa" w:w="100"/>
            </w:tcMar>
          </w:tcPr>
          <w:p>
            <w:r>
              <w:rPr>
                <w:b w:val="false"/>
                <w:bCs w:val="false"/>
                <w:color w:val="000000"/>
                <w:sz w:val="19"/>
                <w:szCs w:val="19"/>
              </w:rPr>
              <w:t xml:space="preserve">login</w:t>
            </w:r>
          </w:p>
        </w:tc>
        <w:tc>
          <w:tcPr>
            <w:tcW w:type="pct" w:w="32%"/>
            <w:tcMar>
              <w:top w:type="dxa" w:w="80"/>
              <w:left w:type="dxa" w:w="100"/>
              <w:bottom w:type="dxa" w:w="80"/>
              <w:right w:type="dxa" w:w="100"/>
            </w:tcMar>
          </w:tcPr>
          <w:p>
            <w:r>
              <w:rPr>
                <w:b w:val="false"/>
                <w:bCs w:val="false"/>
                <w:color w:val="000000"/>
                <w:sz w:val="19"/>
                <w:szCs w:val="19"/>
              </w:rPr>
              <w:t xml:space="preserve">LoginScreen</w:t>
            </w:r>
          </w:p>
        </w:tc>
        <w:tc>
          <w:tcPr>
            <w:tcW w:type="pct" w:w="30%"/>
            <w:tcMar>
              <w:top w:type="dxa" w:w="80"/>
              <w:left w:type="dxa" w:w="100"/>
              <w:bottom w:type="dxa" w:w="80"/>
              <w:right w:type="dxa" w:w="100"/>
            </w:tcMar>
          </w:tcPr>
          <w:p>
            <w:r>
              <w:rPr>
                <w:b w:val="false"/>
                <w:bCs w:val="false"/>
                <w:color w:val="000000"/>
                <w:sz w:val="19"/>
                <w:szCs w:val="19"/>
              </w:rPr>
              <w:t xml:space="preserve">Público</w:t>
            </w:r>
          </w:p>
        </w:tc>
      </w:tr>
      <w:tr>
        <w:tc>
          <w:tcPr>
            <w:tcW w:type="pct" w:w="18%"/>
            <w:tcMar>
              <w:top w:type="dxa" w:w="80"/>
              <w:left w:type="dxa" w:w="100"/>
              <w:bottom w:type="dxa" w:w="80"/>
              <w:right w:type="dxa" w:w="100"/>
            </w:tcMar>
          </w:tcPr>
          <w:p>
            <w:r>
              <w:rPr>
                <w:b w:val="false"/>
                <w:bCs w:val="false"/>
                <w:color w:val="000000"/>
                <w:sz w:val="19"/>
                <w:szCs w:val="19"/>
              </w:rPr>
              <w:t xml:space="preserve">/home</w:t>
            </w:r>
          </w:p>
        </w:tc>
        <w:tc>
          <w:tcPr>
            <w:tcW w:type="pct" w:w="20%"/>
            <w:tcMar>
              <w:top w:type="dxa" w:w="80"/>
              <w:left w:type="dxa" w:w="100"/>
              <w:bottom w:type="dxa" w:w="80"/>
              <w:right w:type="dxa" w:w="100"/>
            </w:tcMar>
          </w:tcPr>
          <w:p>
            <w:r>
              <w:rPr>
                <w:b w:val="false"/>
                <w:bCs w:val="false"/>
                <w:color w:val="000000"/>
                <w:sz w:val="19"/>
                <w:szCs w:val="19"/>
              </w:rPr>
              <w:t xml:space="preserve">home</w:t>
            </w:r>
          </w:p>
        </w:tc>
        <w:tc>
          <w:tcPr>
            <w:tcW w:type="pct" w:w="32%"/>
            <w:tcMar>
              <w:top w:type="dxa" w:w="80"/>
              <w:left w:type="dxa" w:w="100"/>
              <w:bottom w:type="dxa" w:w="80"/>
              <w:right w:type="dxa" w:w="100"/>
            </w:tcMar>
          </w:tcPr>
          <w:p>
            <w:r>
              <w:rPr>
                <w:b w:val="false"/>
                <w:bCs w:val="false"/>
                <w:color w:val="000000"/>
                <w:sz w:val="19"/>
                <w:szCs w:val="19"/>
              </w:rPr>
              <w:t xml:space="preserve">HomeScreen</w:t>
            </w:r>
          </w:p>
        </w:tc>
        <w:tc>
          <w:tcPr>
            <w:tcW w:type="pct" w:w="30%"/>
            <w:tcMar>
              <w:top w:type="dxa" w:w="80"/>
              <w:left w:type="dxa" w:w="100"/>
              <w:bottom w:type="dxa" w:w="80"/>
              <w:right w:type="dxa" w:w="100"/>
            </w:tcMar>
          </w:tcPr>
          <w:p>
            <w:r>
              <w:rPr>
                <w:b w:val="false"/>
                <w:bCs w:val="false"/>
                <w:color w:val="000000"/>
                <w:sz w:val="19"/>
                <w:szCs w:val="19"/>
              </w:rPr>
              <w:t xml:space="preserve">Autenticado</w:t>
            </w:r>
          </w:p>
        </w:tc>
      </w:tr>
      <w:tr>
        <w:tc>
          <w:tcPr>
            <w:tcW w:type="pct" w:w="18%"/>
            <w:tcMar>
              <w:top w:type="dxa" w:w="80"/>
              <w:left w:type="dxa" w:w="100"/>
              <w:bottom w:type="dxa" w:w="80"/>
              <w:right w:type="dxa" w:w="100"/>
            </w:tcMar>
          </w:tcPr>
          <w:p>
            <w:r>
              <w:rPr>
                <w:b w:val="false"/>
                <w:bCs w:val="false"/>
                <w:color w:val="000000"/>
                <w:sz w:val="19"/>
                <w:szCs w:val="19"/>
              </w:rPr>
              <w:t xml:space="preserve">/parcels</w:t>
            </w:r>
          </w:p>
        </w:tc>
        <w:tc>
          <w:tcPr>
            <w:tcW w:type="pct" w:w="20%"/>
            <w:tcMar>
              <w:top w:type="dxa" w:w="80"/>
              <w:left w:type="dxa" w:w="100"/>
              <w:bottom w:type="dxa" w:w="80"/>
              <w:right w:type="dxa" w:w="100"/>
            </w:tcMar>
          </w:tcPr>
          <w:p>
            <w:r>
              <w:rPr>
                <w:b w:val="false"/>
                <w:bCs w:val="false"/>
                <w:color w:val="000000"/>
                <w:sz w:val="19"/>
                <w:szCs w:val="19"/>
              </w:rPr>
              <w:t xml:space="preserve">parcels</w:t>
            </w:r>
          </w:p>
        </w:tc>
        <w:tc>
          <w:tcPr>
            <w:tcW w:type="pct" w:w="32%"/>
            <w:tcMar>
              <w:top w:type="dxa" w:w="80"/>
              <w:left w:type="dxa" w:w="100"/>
              <w:bottom w:type="dxa" w:w="80"/>
              <w:right w:type="dxa" w:w="100"/>
            </w:tcMar>
          </w:tcPr>
          <w:p>
            <w:r>
              <w:rPr>
                <w:b w:val="false"/>
                <w:bCs w:val="false"/>
                <w:color w:val="000000"/>
                <w:sz w:val="19"/>
                <w:szCs w:val="19"/>
              </w:rPr>
              <w:t xml:space="preserve">ParcelListScreen</w:t>
            </w:r>
          </w:p>
        </w:tc>
        <w:tc>
          <w:tcPr>
            <w:tcW w:type="pct" w:w="30%"/>
            <w:tcMar>
              <w:top w:type="dxa" w:w="80"/>
              <w:left w:type="dxa" w:w="100"/>
              <w:bottom w:type="dxa" w:w="80"/>
              <w:right w:type="dxa" w:w="100"/>
            </w:tcMar>
          </w:tcPr>
          <w:p>
            <w:r>
              <w:rPr>
                <w:b w:val="false"/>
                <w:bCs w:val="false"/>
                <w:color w:val="000000"/>
                <w:sz w:val="19"/>
                <w:szCs w:val="19"/>
              </w:rPr>
              <w:t xml:space="preserve">Autenticado</w:t>
            </w:r>
          </w:p>
        </w:tc>
      </w:tr>
      <w:tr>
        <w:tc>
          <w:tcPr>
            <w:tcW w:type="pct" w:w="18%"/>
            <w:tcMar>
              <w:top w:type="dxa" w:w="80"/>
              <w:left w:type="dxa" w:w="100"/>
              <w:bottom w:type="dxa" w:w="80"/>
              <w:right w:type="dxa" w:w="100"/>
            </w:tcMar>
          </w:tcPr>
          <w:p>
            <w:r>
              <w:rPr>
                <w:b w:val="false"/>
                <w:bCs w:val="false"/>
                <w:color w:val="000000"/>
                <w:sz w:val="19"/>
                <w:szCs w:val="19"/>
              </w:rPr>
              <w:t xml:space="preserve">/parcels/new</w:t>
            </w:r>
          </w:p>
        </w:tc>
        <w:tc>
          <w:tcPr>
            <w:tcW w:type="pct" w:w="20%"/>
            <w:tcMar>
              <w:top w:type="dxa" w:w="80"/>
              <w:left w:type="dxa" w:w="100"/>
              <w:bottom w:type="dxa" w:w="80"/>
              <w:right w:type="dxa" w:w="100"/>
            </w:tcMar>
          </w:tcPr>
          <w:p>
            <w:r>
              <w:rPr>
                <w:b w:val="false"/>
                <w:bCs w:val="false"/>
                <w:color w:val="000000"/>
                <w:sz w:val="19"/>
                <w:szCs w:val="19"/>
              </w:rPr>
              <w:t xml:space="preserve">parcel_new</w:t>
            </w:r>
          </w:p>
        </w:tc>
        <w:tc>
          <w:tcPr>
            <w:tcW w:type="pct" w:w="32%"/>
            <w:tcMar>
              <w:top w:type="dxa" w:w="80"/>
              <w:left w:type="dxa" w:w="100"/>
              <w:bottom w:type="dxa" w:w="80"/>
              <w:right w:type="dxa" w:w="100"/>
            </w:tcMar>
          </w:tcPr>
          <w:p>
            <w:r>
              <w:rPr>
                <w:b w:val="false"/>
                <w:bCs w:val="false"/>
                <w:color w:val="000000"/>
                <w:sz w:val="19"/>
                <w:szCs w:val="19"/>
              </w:rPr>
              <w:t xml:space="preserve">ParcelFormScreen</w:t>
            </w:r>
          </w:p>
        </w:tc>
        <w:tc>
          <w:tcPr>
            <w:tcW w:type="pct" w:w="30%"/>
            <w:tcMar>
              <w:top w:type="dxa" w:w="80"/>
              <w:left w:type="dxa" w:w="100"/>
              <w:bottom w:type="dxa" w:w="80"/>
              <w:right w:type="dxa" w:w="100"/>
            </w:tcMar>
          </w:tcPr>
          <w:p>
            <w:r>
              <w:rPr>
                <w:b w:val="false"/>
                <w:bCs w:val="false"/>
                <w:color w:val="000000"/>
                <w:sz w:val="19"/>
                <w:szCs w:val="19"/>
              </w:rPr>
              <w:t xml:space="preserve">Autenticado</w:t>
            </w:r>
          </w:p>
        </w:tc>
      </w:tr>
      <w:tr>
        <w:tc>
          <w:tcPr>
            <w:tcW w:type="pct" w:w="18%"/>
            <w:tcMar>
              <w:top w:type="dxa" w:w="80"/>
              <w:left w:type="dxa" w:w="100"/>
              <w:bottom w:type="dxa" w:w="80"/>
              <w:right w:type="dxa" w:w="100"/>
            </w:tcMar>
          </w:tcPr>
          <w:p>
            <w:r>
              <w:rPr>
                <w:b w:val="false"/>
                <w:bCs w:val="false"/>
                <w:color w:val="000000"/>
                <w:sz w:val="19"/>
                <w:szCs w:val="19"/>
              </w:rPr>
              <w:t xml:space="preserve">/parcels/:id</w:t>
            </w:r>
          </w:p>
        </w:tc>
        <w:tc>
          <w:tcPr>
            <w:tcW w:type="pct" w:w="20%"/>
            <w:tcMar>
              <w:top w:type="dxa" w:w="80"/>
              <w:left w:type="dxa" w:w="100"/>
              <w:bottom w:type="dxa" w:w="80"/>
              <w:right w:type="dxa" w:w="100"/>
            </w:tcMar>
          </w:tcPr>
          <w:p>
            <w:r>
              <w:rPr>
                <w:b w:val="false"/>
                <w:bCs w:val="false"/>
                <w:color w:val="000000"/>
                <w:sz w:val="19"/>
                <w:szCs w:val="19"/>
              </w:rPr>
              <w:t xml:space="preserve">parcel_detail</w:t>
            </w:r>
          </w:p>
        </w:tc>
        <w:tc>
          <w:tcPr>
            <w:tcW w:type="pct" w:w="32%"/>
            <w:tcMar>
              <w:top w:type="dxa" w:w="80"/>
              <w:left w:type="dxa" w:w="100"/>
              <w:bottom w:type="dxa" w:w="80"/>
              <w:right w:type="dxa" w:w="100"/>
            </w:tcMar>
          </w:tcPr>
          <w:p>
            <w:r>
              <w:rPr>
                <w:b w:val="false"/>
                <w:bCs w:val="false"/>
                <w:color w:val="000000"/>
                <w:sz w:val="19"/>
                <w:szCs w:val="19"/>
              </w:rPr>
              <w:t xml:space="preserve">ParcelDetailScreen</w:t>
            </w:r>
          </w:p>
        </w:tc>
        <w:tc>
          <w:tcPr>
            <w:tcW w:type="pct" w:w="30%"/>
            <w:tcMar>
              <w:top w:type="dxa" w:w="80"/>
              <w:left w:type="dxa" w:w="100"/>
              <w:bottom w:type="dxa" w:w="80"/>
              <w:right w:type="dxa" w:w="100"/>
            </w:tcMar>
          </w:tcPr>
          <w:p>
            <w:r>
              <w:rPr>
                <w:b w:val="false"/>
                <w:bCs w:val="false"/>
                <w:color w:val="000000"/>
                <w:sz w:val="19"/>
                <w:szCs w:val="19"/>
              </w:rPr>
              <w:t xml:space="preserve">Autenticado</w:t>
            </w:r>
          </w:p>
        </w:tc>
      </w:tr>
      <w:tr>
        <w:tc>
          <w:tcPr>
            <w:tcW w:type="pct" w:w="18%"/>
            <w:tcMar>
              <w:top w:type="dxa" w:w="80"/>
              <w:left w:type="dxa" w:w="100"/>
              <w:bottom w:type="dxa" w:w="80"/>
              <w:right w:type="dxa" w:w="100"/>
            </w:tcMar>
          </w:tcPr>
          <w:p>
            <w:r>
              <w:rPr>
                <w:b w:val="false"/>
                <w:bCs w:val="false"/>
                <w:color w:val="000000"/>
                <w:sz w:val="19"/>
                <w:szCs w:val="19"/>
              </w:rPr>
              <w:t xml:space="preserve">/alerts</w:t>
            </w:r>
          </w:p>
        </w:tc>
        <w:tc>
          <w:tcPr>
            <w:tcW w:type="pct" w:w="20%"/>
            <w:tcMar>
              <w:top w:type="dxa" w:w="80"/>
              <w:left w:type="dxa" w:w="100"/>
              <w:bottom w:type="dxa" w:w="80"/>
              <w:right w:type="dxa" w:w="100"/>
            </w:tcMar>
          </w:tcPr>
          <w:p>
            <w:r>
              <w:rPr>
                <w:b w:val="false"/>
                <w:bCs w:val="false"/>
                <w:color w:val="000000"/>
                <w:sz w:val="19"/>
                <w:szCs w:val="19"/>
              </w:rPr>
              <w:t xml:space="preserve">alerts</w:t>
            </w:r>
          </w:p>
        </w:tc>
        <w:tc>
          <w:tcPr>
            <w:tcW w:type="pct" w:w="32%"/>
            <w:tcMar>
              <w:top w:type="dxa" w:w="80"/>
              <w:left w:type="dxa" w:w="100"/>
              <w:bottom w:type="dxa" w:w="80"/>
              <w:right w:type="dxa" w:w="100"/>
            </w:tcMar>
          </w:tcPr>
          <w:p>
            <w:r>
              <w:rPr>
                <w:b w:val="false"/>
                <w:bCs w:val="false"/>
                <w:color w:val="000000"/>
                <w:sz w:val="19"/>
                <w:szCs w:val="19"/>
              </w:rPr>
              <w:t xml:space="preserve">AlertsScreen</w:t>
            </w:r>
          </w:p>
        </w:tc>
        <w:tc>
          <w:tcPr>
            <w:tcW w:type="pct" w:w="30%"/>
            <w:tcMar>
              <w:top w:type="dxa" w:w="80"/>
              <w:left w:type="dxa" w:w="100"/>
              <w:bottom w:type="dxa" w:w="80"/>
              <w:right w:type="dxa" w:w="100"/>
            </w:tcMar>
          </w:tcPr>
          <w:p>
            <w:r>
              <w:rPr>
                <w:b w:val="false"/>
                <w:bCs w:val="false"/>
                <w:color w:val="000000"/>
                <w:sz w:val="19"/>
                <w:szCs w:val="19"/>
              </w:rPr>
              <w:t xml:space="preserve">Autenticado</w:t>
            </w:r>
          </w:p>
        </w:tc>
      </w:tr>
      <w:tr>
        <w:tc>
          <w:tcPr>
            <w:tcW w:type="pct" w:w="18%"/>
            <w:tcMar>
              <w:top w:type="dxa" w:w="80"/>
              <w:left w:type="dxa" w:w="100"/>
              <w:bottom w:type="dxa" w:w="80"/>
              <w:right w:type="dxa" w:w="100"/>
            </w:tcMar>
          </w:tcPr>
          <w:p>
            <w:r>
              <w:rPr>
                <w:b w:val="false"/>
                <w:bCs w:val="false"/>
                <w:color w:val="000000"/>
                <w:sz w:val="19"/>
                <w:szCs w:val="19"/>
              </w:rPr>
              <w:t xml:space="preserve">/alerts/:id</w:t>
            </w:r>
          </w:p>
        </w:tc>
        <w:tc>
          <w:tcPr>
            <w:tcW w:type="pct" w:w="20%"/>
            <w:tcMar>
              <w:top w:type="dxa" w:w="80"/>
              <w:left w:type="dxa" w:w="100"/>
              <w:bottom w:type="dxa" w:w="80"/>
              <w:right w:type="dxa" w:w="100"/>
            </w:tcMar>
          </w:tcPr>
          <w:p>
            <w:r>
              <w:rPr>
                <w:b w:val="false"/>
                <w:bCs w:val="false"/>
                <w:color w:val="000000"/>
                <w:sz w:val="19"/>
                <w:szCs w:val="19"/>
              </w:rPr>
              <w:t xml:space="preserve">alert_detail</w:t>
            </w:r>
          </w:p>
        </w:tc>
        <w:tc>
          <w:tcPr>
            <w:tcW w:type="pct" w:w="32%"/>
            <w:tcMar>
              <w:top w:type="dxa" w:w="80"/>
              <w:left w:type="dxa" w:w="100"/>
              <w:bottom w:type="dxa" w:w="80"/>
              <w:right w:type="dxa" w:w="100"/>
            </w:tcMar>
          </w:tcPr>
          <w:p>
            <w:r>
              <w:rPr>
                <w:b w:val="false"/>
                <w:bCs w:val="false"/>
                <w:color w:val="000000"/>
                <w:sz w:val="19"/>
                <w:szCs w:val="19"/>
              </w:rPr>
              <w:t xml:space="preserve">AlertDetailScreen</w:t>
            </w:r>
          </w:p>
        </w:tc>
        <w:tc>
          <w:tcPr>
            <w:tcW w:type="pct" w:w="30%"/>
            <w:tcMar>
              <w:top w:type="dxa" w:w="80"/>
              <w:left w:type="dxa" w:w="100"/>
              <w:bottom w:type="dxa" w:w="80"/>
              <w:right w:type="dxa" w:w="100"/>
            </w:tcMar>
          </w:tcPr>
          <w:p>
            <w:r>
              <w:rPr>
                <w:b w:val="false"/>
                <w:bCs w:val="false"/>
                <w:color w:val="000000"/>
                <w:sz w:val="19"/>
                <w:szCs w:val="19"/>
              </w:rPr>
              <w:t xml:space="preserve">Autenticado</w:t>
            </w:r>
          </w:p>
        </w:tc>
      </w:tr>
      <w:tr>
        <w:tc>
          <w:tcPr>
            <w:tcW w:type="pct" w:w="18%"/>
            <w:tcMar>
              <w:top w:type="dxa" w:w="80"/>
              <w:left w:type="dxa" w:w="100"/>
              <w:bottom w:type="dxa" w:w="80"/>
              <w:right w:type="dxa" w:w="100"/>
            </w:tcMar>
          </w:tcPr>
          <w:p>
            <w:r>
              <w:rPr>
                <w:b w:val="false"/>
                <w:bCs w:val="false"/>
                <w:color w:val="000000"/>
                <w:sz w:val="19"/>
                <w:szCs w:val="19"/>
              </w:rPr>
              <w:t xml:space="preserve">/products</w:t>
            </w:r>
          </w:p>
        </w:tc>
        <w:tc>
          <w:tcPr>
            <w:tcW w:type="pct" w:w="20%"/>
            <w:tcMar>
              <w:top w:type="dxa" w:w="80"/>
              <w:left w:type="dxa" w:w="100"/>
              <w:bottom w:type="dxa" w:w="80"/>
              <w:right w:type="dxa" w:w="100"/>
            </w:tcMar>
          </w:tcPr>
          <w:p>
            <w:r>
              <w:rPr>
                <w:b w:val="false"/>
                <w:bCs w:val="false"/>
                <w:color w:val="000000"/>
                <w:sz w:val="19"/>
                <w:szCs w:val="19"/>
              </w:rPr>
              <w:t xml:space="preserve">products</w:t>
            </w:r>
          </w:p>
        </w:tc>
        <w:tc>
          <w:tcPr>
            <w:tcW w:type="pct" w:w="32%"/>
            <w:tcMar>
              <w:top w:type="dxa" w:w="80"/>
              <w:left w:type="dxa" w:w="100"/>
              <w:bottom w:type="dxa" w:w="80"/>
              <w:right w:type="dxa" w:w="100"/>
            </w:tcMar>
          </w:tcPr>
          <w:p>
            <w:r>
              <w:rPr>
                <w:b w:val="false"/>
                <w:bCs w:val="false"/>
                <w:color w:val="000000"/>
                <w:sz w:val="19"/>
                <w:szCs w:val="19"/>
              </w:rPr>
              <w:t xml:space="preserve">ProductFinderScreen</w:t>
            </w:r>
          </w:p>
        </w:tc>
        <w:tc>
          <w:tcPr>
            <w:tcW w:type="pct" w:w="30%"/>
            <w:tcMar>
              <w:top w:type="dxa" w:w="80"/>
              <w:left w:type="dxa" w:w="100"/>
              <w:bottom w:type="dxa" w:w="80"/>
              <w:right w:type="dxa" w:w="100"/>
            </w:tcMar>
          </w:tcPr>
          <w:p>
            <w:r>
              <w:rPr>
                <w:b w:val="false"/>
                <w:bCs w:val="false"/>
                <w:color w:val="000000"/>
                <w:sz w:val="19"/>
                <w:szCs w:val="19"/>
              </w:rPr>
              <w:t xml:space="preserve">Autenticado</w:t>
            </w:r>
          </w:p>
        </w:tc>
      </w:tr>
      <w:tr>
        <w:tc>
          <w:tcPr>
            <w:tcW w:type="pct" w:w="18%"/>
            <w:tcMar>
              <w:top w:type="dxa" w:w="80"/>
              <w:left w:type="dxa" w:w="100"/>
              <w:bottom w:type="dxa" w:w="80"/>
              <w:right w:type="dxa" w:w="100"/>
            </w:tcMar>
          </w:tcPr>
          <w:p>
            <w:r>
              <w:rPr>
                <w:b w:val="false"/>
                <w:bCs w:val="false"/>
                <w:color w:val="000000"/>
                <w:sz w:val="19"/>
                <w:szCs w:val="19"/>
              </w:rPr>
              <w:t xml:space="preserve">/products/:id</w:t>
            </w:r>
          </w:p>
        </w:tc>
        <w:tc>
          <w:tcPr>
            <w:tcW w:type="pct" w:w="20%"/>
            <w:tcMar>
              <w:top w:type="dxa" w:w="80"/>
              <w:left w:type="dxa" w:w="100"/>
              <w:bottom w:type="dxa" w:w="80"/>
              <w:right w:type="dxa" w:w="100"/>
            </w:tcMar>
          </w:tcPr>
          <w:p>
            <w:r>
              <w:rPr>
                <w:b w:val="false"/>
                <w:bCs w:val="false"/>
                <w:color w:val="000000"/>
                <w:sz w:val="19"/>
                <w:szCs w:val="19"/>
              </w:rPr>
              <w:t xml:space="preserve">product_detail</w:t>
            </w:r>
          </w:p>
        </w:tc>
        <w:tc>
          <w:tcPr>
            <w:tcW w:type="pct" w:w="32%"/>
            <w:tcMar>
              <w:top w:type="dxa" w:w="80"/>
              <w:left w:type="dxa" w:w="100"/>
              <w:bottom w:type="dxa" w:w="80"/>
              <w:right w:type="dxa" w:w="100"/>
            </w:tcMar>
          </w:tcPr>
          <w:p>
            <w:r>
              <w:rPr>
                <w:b w:val="false"/>
                <w:bCs w:val="false"/>
                <w:color w:val="000000"/>
                <w:sz w:val="19"/>
                <w:szCs w:val="19"/>
              </w:rPr>
              <w:t xml:space="preserve">ProductDetailScreen</w:t>
            </w:r>
          </w:p>
        </w:tc>
        <w:tc>
          <w:tcPr>
            <w:tcW w:type="pct" w:w="30%"/>
            <w:tcMar>
              <w:top w:type="dxa" w:w="80"/>
              <w:left w:type="dxa" w:w="100"/>
              <w:bottom w:type="dxa" w:w="80"/>
              <w:right w:type="dxa" w:w="100"/>
            </w:tcMar>
          </w:tcPr>
          <w:p>
            <w:r>
              <w:rPr>
                <w:b w:val="false"/>
                <w:bCs w:val="false"/>
                <w:color w:val="000000"/>
                <w:sz w:val="19"/>
                <w:szCs w:val="19"/>
              </w:rPr>
              <w:t xml:space="preserve">Autenticado</w:t>
            </w:r>
          </w:p>
        </w:tc>
      </w:tr>
      <w:tr>
        <w:tc>
          <w:tcPr>
            <w:tcW w:type="pct" w:w="18%"/>
            <w:tcMar>
              <w:top w:type="dxa" w:w="80"/>
              <w:left w:type="dxa" w:w="100"/>
              <w:bottom w:type="dxa" w:w="80"/>
              <w:right w:type="dxa" w:w="100"/>
            </w:tcMar>
          </w:tcPr>
          <w:p>
            <w:r>
              <w:rPr>
                <w:b w:val="false"/>
                <w:bCs w:val="false"/>
                <w:color w:val="000000"/>
                <w:sz w:val="19"/>
                <w:szCs w:val="19"/>
              </w:rPr>
              <w:t xml:space="preserve">/reports/new</w:t>
            </w:r>
          </w:p>
        </w:tc>
        <w:tc>
          <w:tcPr>
            <w:tcW w:type="pct" w:w="20%"/>
            <w:tcMar>
              <w:top w:type="dxa" w:w="80"/>
              <w:left w:type="dxa" w:w="100"/>
              <w:bottom w:type="dxa" w:w="80"/>
              <w:right w:type="dxa" w:w="100"/>
            </w:tcMar>
          </w:tcPr>
          <w:p>
            <w:r>
              <w:rPr>
                <w:b w:val="false"/>
                <w:bCs w:val="false"/>
                <w:color w:val="000000"/>
                <w:sz w:val="19"/>
                <w:szCs w:val="19"/>
              </w:rPr>
              <w:t xml:space="preserve">report_new</w:t>
            </w:r>
          </w:p>
        </w:tc>
        <w:tc>
          <w:tcPr>
            <w:tcW w:type="pct" w:w="32%"/>
            <w:tcMar>
              <w:top w:type="dxa" w:w="80"/>
              <w:left w:type="dxa" w:w="100"/>
              <w:bottom w:type="dxa" w:w="80"/>
              <w:right w:type="dxa" w:w="100"/>
            </w:tcMar>
          </w:tcPr>
          <w:p>
            <w:r>
              <w:rPr>
                <w:b w:val="false"/>
                <w:bCs w:val="false"/>
                <w:color w:val="000000"/>
                <w:sz w:val="19"/>
                <w:szCs w:val="19"/>
              </w:rPr>
              <w:t xml:space="preserve">ReportFormScreen</w:t>
            </w:r>
          </w:p>
        </w:tc>
        <w:tc>
          <w:tcPr>
            <w:tcW w:type="pct" w:w="30%"/>
            <w:tcMar>
              <w:top w:type="dxa" w:w="80"/>
              <w:left w:type="dxa" w:w="100"/>
              <w:bottom w:type="dxa" w:w="80"/>
              <w:right w:type="dxa" w:w="100"/>
            </w:tcMar>
          </w:tcPr>
          <w:p>
            <w:r>
              <w:rPr>
                <w:b w:val="false"/>
                <w:bCs w:val="false"/>
                <w:color w:val="000000"/>
                <w:sz w:val="19"/>
                <w:szCs w:val="19"/>
              </w:rPr>
              <w:t xml:space="preserve">Autenticado</w:t>
            </w:r>
          </w:p>
        </w:tc>
      </w:tr>
      <w:tr>
        <w:tc>
          <w:tcPr>
            <w:tcW w:type="pct" w:w="18%"/>
            <w:tcMar>
              <w:top w:type="dxa" w:w="80"/>
              <w:left w:type="dxa" w:w="100"/>
              <w:bottom w:type="dxa" w:w="80"/>
              <w:right w:type="dxa" w:w="100"/>
            </w:tcMar>
          </w:tcPr>
          <w:p>
            <w:r>
              <w:rPr>
                <w:b w:val="false"/>
                <w:bCs w:val="false"/>
                <w:color w:val="000000"/>
                <w:sz w:val="19"/>
                <w:szCs w:val="19"/>
              </w:rPr>
              <w:t xml:space="preserve">/settings</w:t>
            </w:r>
          </w:p>
        </w:tc>
        <w:tc>
          <w:tcPr>
            <w:tcW w:type="pct" w:w="20%"/>
            <w:tcMar>
              <w:top w:type="dxa" w:w="80"/>
              <w:left w:type="dxa" w:w="100"/>
              <w:bottom w:type="dxa" w:w="80"/>
              <w:right w:type="dxa" w:w="100"/>
            </w:tcMar>
          </w:tcPr>
          <w:p>
            <w:r>
              <w:rPr>
                <w:b w:val="false"/>
                <w:bCs w:val="false"/>
                <w:color w:val="000000"/>
                <w:sz w:val="19"/>
                <w:szCs w:val="19"/>
              </w:rPr>
              <w:t xml:space="preserve">settings</w:t>
            </w:r>
          </w:p>
        </w:tc>
        <w:tc>
          <w:tcPr>
            <w:tcW w:type="pct" w:w="32%"/>
            <w:tcMar>
              <w:top w:type="dxa" w:w="80"/>
              <w:left w:type="dxa" w:w="100"/>
              <w:bottom w:type="dxa" w:w="80"/>
              <w:right w:type="dxa" w:w="100"/>
            </w:tcMar>
          </w:tcPr>
          <w:p>
            <w:r>
              <w:rPr>
                <w:b w:val="false"/>
                <w:bCs w:val="false"/>
                <w:color w:val="000000"/>
                <w:sz w:val="19"/>
                <w:szCs w:val="19"/>
              </w:rPr>
              <w:t xml:space="preserve">SettingsScreen</w:t>
            </w:r>
          </w:p>
        </w:tc>
        <w:tc>
          <w:tcPr>
            <w:tcW w:type="pct" w:w="30%"/>
            <w:tcMar>
              <w:top w:type="dxa" w:w="80"/>
              <w:left w:type="dxa" w:w="100"/>
              <w:bottom w:type="dxa" w:w="80"/>
              <w:right w:type="dxa" w:w="100"/>
            </w:tcMar>
          </w:tcPr>
          <w:p>
            <w:r>
              <w:rPr>
                <w:b w:val="false"/>
                <w:bCs w:val="false"/>
                <w:color w:val="000000"/>
                <w:sz w:val="19"/>
                <w:szCs w:val="19"/>
              </w:rPr>
              <w:t xml:space="preserve">Autenticado</w:t>
            </w:r>
          </w:p>
        </w:tc>
      </w:tr>
      <w:tr>
        <w:tc>
          <w:tcPr>
            <w:tcW w:type="pct" w:w="18%"/>
            <w:tcMar>
              <w:top w:type="dxa" w:w="80"/>
              <w:left w:type="dxa" w:w="100"/>
              <w:bottom w:type="dxa" w:w="80"/>
              <w:right w:type="dxa" w:w="100"/>
            </w:tcMar>
          </w:tcPr>
          <w:p>
            <w:r>
              <w:rPr>
                <w:b w:val="false"/>
                <w:bCs w:val="false"/>
                <w:color w:val="000000"/>
                <w:sz w:val="19"/>
                <w:szCs w:val="19"/>
              </w:rPr>
              <w:t xml:space="preserve">/settings/notifications</w:t>
            </w:r>
          </w:p>
        </w:tc>
        <w:tc>
          <w:tcPr>
            <w:tcW w:type="pct" w:w="20%"/>
            <w:tcMar>
              <w:top w:type="dxa" w:w="80"/>
              <w:left w:type="dxa" w:w="100"/>
              <w:bottom w:type="dxa" w:w="80"/>
              <w:right w:type="dxa" w:w="100"/>
            </w:tcMar>
          </w:tcPr>
          <w:p>
            <w:r>
              <w:rPr>
                <w:b w:val="false"/>
                <w:bCs w:val="false"/>
                <w:color w:val="000000"/>
                <w:sz w:val="19"/>
                <w:szCs w:val="19"/>
              </w:rPr>
              <w:t xml:space="preserve">notif_settings</w:t>
            </w:r>
          </w:p>
        </w:tc>
        <w:tc>
          <w:tcPr>
            <w:tcW w:type="pct" w:w="32%"/>
            <w:tcMar>
              <w:top w:type="dxa" w:w="80"/>
              <w:left w:type="dxa" w:w="100"/>
              <w:bottom w:type="dxa" w:w="80"/>
              <w:right w:type="dxa" w:w="100"/>
            </w:tcMar>
          </w:tcPr>
          <w:p>
            <w:r>
              <w:rPr>
                <w:b w:val="false"/>
                <w:bCs w:val="false"/>
                <w:color w:val="000000"/>
                <w:sz w:val="19"/>
                <w:szCs w:val="19"/>
              </w:rPr>
              <w:t xml:space="preserve">NotificationPreferencesScreen</w:t>
            </w:r>
          </w:p>
        </w:tc>
        <w:tc>
          <w:tcPr>
            <w:tcW w:type="pct" w:w="30%"/>
            <w:tcMar>
              <w:top w:type="dxa" w:w="80"/>
              <w:left w:type="dxa" w:w="100"/>
              <w:bottom w:type="dxa" w:w="80"/>
              <w:right w:type="dxa" w:w="100"/>
            </w:tcMar>
          </w:tcPr>
          <w:p>
            <w:r>
              <w:rPr>
                <w:b w:val="false"/>
                <w:bCs w:val="false"/>
                <w:color w:val="000000"/>
                <w:sz w:val="19"/>
                <w:szCs w:val="19"/>
              </w:rPr>
              <w:t xml:space="preserve">Autenticado</w:t>
            </w:r>
          </w:p>
        </w:tc>
      </w:tr>
    </w:tbl>
    <w:p>
      <w:pPr>
        <w:pStyle w:val="Heading1"/>
        <w:spacing w:after="200" w:before="400"/>
      </w:pPr>
      <w:r>
        <w:t xml:space="preserve">7. Modelo de datos local (Isar — caché offline)</w:t>
      </w:r>
    </w:p>
    <w:p>
      <w:pPr>
        <w:spacing w:after="120"/>
      </w:pPr>
      <w:r>
        <w:t xml:space="preserve">Esquema de ParcelModel:</w:t>
      </w:r>
    </w:p>
    <w:p>
      <w:pPr>
        <w:shd w:fill="F1F3F4" w:val="clear"/>
        <w:spacing w:after="40"/>
      </w:pPr>
      <w:r>
        <w:rPr>
          <w:rFonts w:ascii="Consolas" w:cs="Consolas" w:eastAsia="Consolas" w:hAnsi="Consolas"/>
          <w:sz w:val="19"/>
          <w:szCs w:val="19"/>
        </w:rPr>
        <w:t xml:space="preserve">@collection</w:t>
      </w:r>
    </w:p>
    <w:p>
      <w:pPr>
        <w:shd w:fill="F1F3F4" w:val="clear"/>
        <w:spacing w:after="40"/>
      </w:pPr>
      <w:r>
        <w:rPr>
          <w:rFonts w:ascii="Consolas" w:cs="Consolas" w:eastAsia="Consolas" w:hAnsi="Consolas"/>
          <w:sz w:val="19"/>
          <w:szCs w:val="19"/>
        </w:rPr>
        <w:t xml:space="preserve">class ParcelModel {</w:t>
      </w:r>
    </w:p>
    <w:p>
      <w:pPr>
        <w:shd w:fill="F1F3F4" w:val="clear"/>
        <w:spacing w:after="40"/>
      </w:pPr>
      <w:r>
        <w:rPr>
          <w:rFonts w:ascii="Consolas" w:cs="Consolas" w:eastAsia="Consolas" w:hAnsi="Consolas"/>
          <w:sz w:val="19"/>
          <w:szCs w:val="19"/>
        </w:rPr>
        <w:t xml:space="preserve">  Id id = Isar.autoIncrement;</w:t>
      </w:r>
    </w:p>
    <w:p>
      <w:pPr>
        <w:shd w:fill="F1F3F4" w:val="clear"/>
        <w:spacing w:after="40"/>
      </w:pPr>
      <w:r>
        <w:rPr>
          <w:rFonts w:ascii="Consolas" w:cs="Consolas" w:eastAsia="Consolas" w:hAnsi="Consolas"/>
          <w:sz w:val="19"/>
          <w:szCs w:val="19"/>
        </w:rPr>
        <w:t xml:space="preserve">  late String serverId;</w:t>
      </w:r>
    </w:p>
    <w:p>
      <w:pPr>
        <w:shd w:fill="F1F3F4" w:val="clear"/>
        <w:spacing w:after="40"/>
      </w:pPr>
      <w:r>
        <w:rPr>
          <w:rFonts w:ascii="Consolas" w:cs="Consolas" w:eastAsia="Consolas" w:hAnsi="Consolas"/>
          <w:sz w:val="19"/>
          <w:szCs w:val="19"/>
        </w:rPr>
        <w:t xml:space="preserve">  late String label;</w:t>
      </w:r>
    </w:p>
    <w:p>
      <w:pPr>
        <w:shd w:fill="F1F3F4" w:val="clear"/>
        <w:spacing w:after="40"/>
      </w:pPr>
      <w:r>
        <w:rPr>
          <w:rFonts w:ascii="Consolas" w:cs="Consolas" w:eastAsia="Consolas" w:hAnsi="Consolas"/>
          <w:sz w:val="19"/>
          <w:szCs w:val="19"/>
        </w:rPr>
        <w:t xml:space="preserve">  late double latitude;</w:t>
      </w:r>
    </w:p>
    <w:p>
      <w:pPr>
        <w:shd w:fill="F1F3F4" w:val="clear"/>
        <w:spacing w:after="40"/>
      </w:pPr>
      <w:r>
        <w:rPr>
          <w:rFonts w:ascii="Consolas" w:cs="Consolas" w:eastAsia="Consolas" w:hAnsi="Consolas"/>
          <w:sz w:val="19"/>
          <w:szCs w:val="19"/>
        </w:rPr>
        <w:t xml:space="preserve">  late double longitude;</w:t>
      </w:r>
    </w:p>
    <w:p>
      <w:pPr>
        <w:shd w:fill="F1F3F4" w:val="clear"/>
        <w:spacing w:after="40"/>
      </w:pPr>
      <w:r>
        <w:rPr>
          <w:rFonts w:ascii="Consolas" w:cs="Consolas" w:eastAsia="Consolas" w:hAnsi="Consolas"/>
          <w:sz w:val="19"/>
          <w:szCs w:val="19"/>
        </w:rPr>
        <w:t xml:space="preserve">  late String geojsonRaw;</w:t>
      </w:r>
    </w:p>
    <w:p>
      <w:pPr>
        <w:shd w:fill="F1F3F4" w:val="clear"/>
        <w:spacing w:after="40"/>
      </w:pPr>
      <w:r>
        <w:rPr>
          <w:rFonts w:ascii="Consolas" w:cs="Consolas" w:eastAsia="Consolas" w:hAnsi="Consolas"/>
          <w:sz w:val="19"/>
          <w:szCs w:val="19"/>
        </w:rPr>
        <w:t xml:space="preserve">  late String cropType;      // enum: olivar | vinedo</w:t>
      </w:r>
    </w:p>
    <w:p>
      <w:pPr>
        <w:shd w:fill="F1F3F4" w:val="clear"/>
        <w:spacing w:after="40"/>
      </w:pPr>
      <w:r>
        <w:rPr>
          <w:rFonts w:ascii="Consolas" w:cs="Consolas" w:eastAsia="Consolas" w:hAnsi="Consolas"/>
          <w:sz w:val="19"/>
          <w:szCs w:val="19"/>
        </w:rPr>
        <w:t xml:space="preserve">  late String comarca;       // para resolver estación RIA más cercana</w:t>
      </w:r>
    </w:p>
    <w:p>
      <w:pPr>
        <w:shd w:fill="F1F3F4" w:val="clear"/>
        <w:spacing w:after="40"/>
      </w:pPr>
      <w:r>
        <w:rPr>
          <w:rFonts w:ascii="Consolas" w:cs="Consolas" w:eastAsia="Consolas" w:hAnsi="Consolas"/>
          <w:sz w:val="19"/>
          <w:szCs w:val="19"/>
        </w:rPr>
        <w:t xml:space="preserve">  late DateTime updatedAt;</w:t>
      </w:r>
    </w:p>
    <w:p>
      <w:pPr>
        <w:shd w:fill="F1F3F4" w:val="clear"/>
        <w:spacing w:after="40"/>
      </w:pPr>
      <w:r>
        <w:rPr>
          <w:rFonts w:ascii="Consolas" w:cs="Consolas" w:eastAsia="Consolas" w:hAnsi="Consolas"/>
          <w:sz w:val="19"/>
          <w:szCs w:val="19"/>
        </w:rPr>
        <w:t xml:space="preserve">}</w:t>
      </w:r>
    </w:p>
    <w:p>
      <w:pPr>
        <w:spacing w:after="120"/>
      </w:pPr>
      <w:r>
        <w:t xml:space="preserve">Esquema de DiseaseRiskModel (caché de avisos, para consulta sin conexión):</w:t>
      </w:r>
    </w:p>
    <w:p>
      <w:pPr>
        <w:shd w:fill="F1F3F4" w:val="clear"/>
        <w:spacing w:after="40"/>
      </w:pPr>
      <w:r>
        <w:rPr>
          <w:rFonts w:ascii="Consolas" w:cs="Consolas" w:eastAsia="Consolas" w:hAnsi="Consolas"/>
          <w:sz w:val="19"/>
          <w:szCs w:val="19"/>
        </w:rPr>
        <w:t xml:space="preserve">@collection</w:t>
      </w:r>
    </w:p>
    <w:p>
      <w:pPr>
        <w:shd w:fill="F1F3F4" w:val="clear"/>
        <w:spacing w:after="40"/>
      </w:pPr>
      <w:r>
        <w:rPr>
          <w:rFonts w:ascii="Consolas" w:cs="Consolas" w:eastAsia="Consolas" w:hAnsi="Consolas"/>
          <w:sz w:val="19"/>
          <w:szCs w:val="19"/>
        </w:rPr>
        <w:t xml:space="preserve">class DiseaseRiskModel {</w:t>
      </w:r>
    </w:p>
    <w:p>
      <w:pPr>
        <w:shd w:fill="F1F3F4" w:val="clear"/>
        <w:spacing w:after="40"/>
      </w:pPr>
      <w:r>
        <w:rPr>
          <w:rFonts w:ascii="Consolas" w:cs="Consolas" w:eastAsia="Consolas" w:hAnsi="Consolas"/>
          <w:sz w:val="19"/>
          <w:szCs w:val="19"/>
        </w:rPr>
        <w:t xml:space="preserve">  Id id = Isar.autoIncrement;</w:t>
      </w:r>
    </w:p>
    <w:p>
      <w:pPr>
        <w:shd w:fill="F1F3F4" w:val="clear"/>
        <w:spacing w:after="40"/>
      </w:pPr>
      <w:r>
        <w:rPr>
          <w:rFonts w:ascii="Consolas" w:cs="Consolas" w:eastAsia="Consolas" w:hAnsi="Consolas"/>
          <w:sz w:val="19"/>
          <w:szCs w:val="19"/>
        </w:rPr>
        <w:t xml:space="preserve">  late String parcelServerId;</w:t>
      </w:r>
    </w:p>
    <w:p>
      <w:pPr>
        <w:shd w:fill="F1F3F4" w:val="clear"/>
        <w:spacing w:after="40"/>
      </w:pPr>
      <w:r>
        <w:rPr>
          <w:rFonts w:ascii="Consolas" w:cs="Consolas" w:eastAsia="Consolas" w:hAnsi="Consolas"/>
          <w:sz w:val="19"/>
          <w:szCs w:val="19"/>
        </w:rPr>
        <w:t xml:space="preserve">  late String diseaseCode;    // repilo | mildiu</w:t>
      </w:r>
    </w:p>
    <w:p>
      <w:pPr>
        <w:shd w:fill="F1F3F4" w:val="clear"/>
        <w:spacing w:after="40"/>
      </w:pPr>
      <w:r>
        <w:rPr>
          <w:rFonts w:ascii="Consolas" w:cs="Consolas" w:eastAsia="Consolas" w:hAnsi="Consolas"/>
          <w:sz w:val="19"/>
          <w:szCs w:val="19"/>
        </w:rPr>
        <w:t xml:space="preserve">  late double riskScore;      // 0.0 - 1.0</w:t>
      </w:r>
    </w:p>
    <w:p>
      <w:pPr>
        <w:shd w:fill="F1F3F4" w:val="clear"/>
        <w:spacing w:after="40"/>
      </w:pPr>
      <w:r>
        <w:rPr>
          <w:rFonts w:ascii="Consolas" w:cs="Consolas" w:eastAsia="Consolas" w:hAnsi="Consolas"/>
          <w:sz w:val="19"/>
          <w:szCs w:val="19"/>
        </w:rPr>
        <w:t xml:space="preserve">  late String riskLevel;      // bajo | medio | alto</w:t>
      </w:r>
    </w:p>
    <w:p>
      <w:pPr>
        <w:shd w:fill="F1F3F4" w:val="clear"/>
        <w:spacing w:after="40"/>
      </w:pPr>
      <w:r>
        <w:rPr>
          <w:rFonts w:ascii="Consolas" w:cs="Consolas" w:eastAsia="Consolas" w:hAnsi="Consolas"/>
          <w:sz w:val="19"/>
          <w:szCs w:val="19"/>
        </w:rPr>
        <w:t xml:space="preserve">  late String recommendationText;</w:t>
      </w:r>
    </w:p>
    <w:p>
      <w:pPr>
        <w:shd w:fill="F1F3F4" w:val="clear"/>
        <w:spacing w:after="40"/>
      </w:pPr>
      <w:r>
        <w:rPr>
          <w:rFonts w:ascii="Consolas" w:cs="Consolas" w:eastAsia="Consolas" w:hAnsi="Consolas"/>
          <w:sz w:val="19"/>
          <w:szCs w:val="19"/>
        </w:rPr>
        <w:t xml:space="preserve">  late DateTime calculatedAt;</w:t>
      </w:r>
    </w:p>
    <w:p>
      <w:pPr>
        <w:shd w:fill="F1F3F4" w:val="clear"/>
        <w:spacing w:after="40"/>
      </w:pPr>
      <w:r>
        <w:rPr>
          <w:rFonts w:ascii="Consolas" w:cs="Consolas" w:eastAsia="Consolas" w:hAnsi="Consolas"/>
          <w:sz w:val="19"/>
          <w:szCs w:val="19"/>
        </w:rPr>
        <w:t xml:space="preserve">  late DateTime validUntil;</w:t>
      </w:r>
    </w:p>
    <w:p>
      <w:pPr>
        <w:shd w:fill="F1F3F4" w:val="clear"/>
        <w:spacing w:after="40"/>
      </w:pPr>
      <w:r>
        <w:rPr>
          <w:rFonts w:ascii="Consolas" w:cs="Consolas" w:eastAsia="Consolas" w:hAnsi="Consolas"/>
          <w:sz w:val="19"/>
          <w:szCs w:val="19"/>
        </w:rPr>
        <w:t xml:space="preserve">  bool isStale = false;       // true si se sirve desde caché sin refrescar</w:t>
      </w:r>
    </w:p>
    <w:p>
      <w:pPr>
        <w:shd w:fill="F1F3F4" w:val="clear"/>
        <w:spacing w:after="40"/>
      </w:pPr>
      <w:r>
        <w:rPr>
          <w:rFonts w:ascii="Consolas" w:cs="Consolas" w:eastAsia="Consolas" w:hAnsi="Consolas"/>
          <w:sz w:val="19"/>
          <w:szCs w:val="19"/>
        </w:rPr>
        <w:t xml:space="preserve">}</w:t>
      </w:r>
    </w:p>
    <w:p>
      <w:pPr>
        <w:pStyle w:val="Heading1"/>
        <w:spacing w:after="200" w:before="400"/>
      </w:pPr>
      <w:r>
        <w:t xml:space="preserve">8. Backend — estructura de carpetas y endpoints</w:t>
      </w:r>
    </w:p>
    <w:p>
      <w:pPr>
        <w:spacing w:after="70"/>
        <w:ind w:left="200"/>
      </w:pPr>
      <w:r>
        <w:rPr>
          <w:rFonts w:ascii="Consolas" w:cs="Consolas" w:eastAsia="Consolas" w:hAnsi="Consolas"/>
          <w:b/>
          <w:bCs/>
          <w:color w:val="1B5E20"/>
          <w:sz w:val="19"/>
          <w:szCs w:val="19"/>
        </w:rPr>
        <w:t xml:space="preserve">backend/app/main.py</w:t>
      </w:r>
      <w:r>
        <w:rPr>
          <w:sz w:val="20"/>
          <w:szCs w:val="20"/>
        </w:rPr>
        <w:t xml:space="preserve">  →  Punto de entrada FastAPI</w:t>
      </w:r>
    </w:p>
    <w:p>
      <w:pPr>
        <w:spacing w:after="70"/>
        <w:ind w:left="200"/>
      </w:pPr>
      <w:r>
        <w:rPr>
          <w:rFonts w:ascii="Consolas" w:cs="Consolas" w:eastAsia="Consolas" w:hAnsi="Consolas"/>
          <w:b/>
          <w:bCs/>
          <w:color w:val="1B5E20"/>
          <w:sz w:val="19"/>
          <w:szCs w:val="19"/>
        </w:rPr>
        <w:t xml:space="preserve">backend/app/core/config.py</w:t>
      </w:r>
      <w:r>
        <w:rPr>
          <w:sz w:val="20"/>
          <w:szCs w:val="20"/>
        </w:rPr>
        <w:t xml:space="preserve">  →  Configuración por entorno (dev/staging/prod)</w:t>
      </w:r>
    </w:p>
    <w:p>
      <w:pPr>
        <w:spacing w:after="70"/>
        <w:ind w:left="200"/>
      </w:pPr>
      <w:r>
        <w:rPr>
          <w:rFonts w:ascii="Consolas" w:cs="Consolas" w:eastAsia="Consolas" w:hAnsi="Consolas"/>
          <w:b/>
          <w:bCs/>
          <w:color w:val="1B5E20"/>
          <w:sz w:val="19"/>
          <w:szCs w:val="19"/>
        </w:rPr>
        <w:t xml:space="preserve">backend/app/core/security.py</w:t>
      </w:r>
      <w:r>
        <w:rPr>
          <w:sz w:val="20"/>
          <w:szCs w:val="20"/>
        </w:rPr>
        <w:t xml:space="preserve">  →  Autenticación de tokens Firebase</w:t>
      </w:r>
    </w:p>
    <w:p>
      <w:pPr>
        <w:spacing w:after="70"/>
        <w:ind w:left="200"/>
      </w:pPr>
      <w:r>
        <w:rPr>
          <w:rFonts w:ascii="Consolas" w:cs="Consolas" w:eastAsia="Consolas" w:hAnsi="Consolas"/>
          <w:b/>
          <w:bCs/>
          <w:color w:val="1B5E20"/>
          <w:sz w:val="19"/>
          <w:szCs w:val="19"/>
        </w:rPr>
        <w:t xml:space="preserve">backend/app/api/v1/endpoints/parcels.py</w:t>
      </w:r>
      <w:r>
        <w:rPr>
          <w:sz w:val="20"/>
          <w:szCs w:val="20"/>
        </w:rPr>
        <w:t xml:space="preserve">  →  CRUD de parcelas</w:t>
      </w:r>
    </w:p>
    <w:p>
      <w:pPr>
        <w:spacing w:after="70"/>
        <w:ind w:left="200"/>
      </w:pPr>
      <w:r>
        <w:rPr>
          <w:rFonts w:ascii="Consolas" w:cs="Consolas" w:eastAsia="Consolas" w:hAnsi="Consolas"/>
          <w:b/>
          <w:bCs/>
          <w:color w:val="1B5E20"/>
          <w:sz w:val="19"/>
          <w:szCs w:val="19"/>
        </w:rPr>
        <w:t xml:space="preserve">backend/app/api/v1/endpoints/weather.py</w:t>
      </w:r>
      <w:r>
        <w:rPr>
          <w:sz w:val="20"/>
          <w:szCs w:val="20"/>
        </w:rPr>
        <w:t xml:space="preserve">  →  GET /weather/{parcel_id} — agregado AEMET + RIA-IFAPA</w:t>
      </w:r>
    </w:p>
    <w:p>
      <w:pPr>
        <w:spacing w:after="70"/>
        <w:ind w:left="200"/>
      </w:pPr>
      <w:r>
        <w:rPr>
          <w:rFonts w:ascii="Consolas" w:cs="Consolas" w:eastAsia="Consolas" w:hAnsi="Consolas"/>
          <w:b/>
          <w:bCs/>
          <w:color w:val="1B5E20"/>
          <w:sz w:val="19"/>
          <w:szCs w:val="19"/>
        </w:rPr>
        <w:t xml:space="preserve">backend/app/api/v1/endpoints/disease_risk.py</w:t>
      </w:r>
      <w:r>
        <w:rPr>
          <w:sz w:val="20"/>
          <w:szCs w:val="20"/>
        </w:rPr>
        <w:t xml:space="preserve">  →  GET /disease-risk/{parcel_id} — resultado del motor de reglas</w:t>
      </w:r>
    </w:p>
    <w:p>
      <w:pPr>
        <w:spacing w:after="70"/>
        <w:ind w:left="200"/>
      </w:pPr>
      <w:r>
        <w:rPr>
          <w:rFonts w:ascii="Consolas" w:cs="Consolas" w:eastAsia="Consolas" w:hAnsi="Consolas"/>
          <w:b/>
          <w:bCs/>
          <w:color w:val="1B5E20"/>
          <w:sz w:val="19"/>
          <w:szCs w:val="19"/>
        </w:rPr>
        <w:t xml:space="preserve">backend/app/api/v1/endpoints/phytosanitary.py</w:t>
      </w:r>
      <w:r>
        <w:rPr>
          <w:sz w:val="20"/>
          <w:szCs w:val="20"/>
        </w:rPr>
        <w:t xml:space="preserve">  →  GET /products — búsqueda en catálogo MAPA indexado</w:t>
      </w:r>
    </w:p>
    <w:p>
      <w:pPr>
        <w:spacing w:after="70"/>
        <w:ind w:left="200"/>
      </w:pPr>
      <w:r>
        <w:rPr>
          <w:rFonts w:ascii="Consolas" w:cs="Consolas" w:eastAsia="Consolas" w:hAnsi="Consolas"/>
          <w:b/>
          <w:bCs/>
          <w:color w:val="1B5E20"/>
          <w:sz w:val="19"/>
          <w:szCs w:val="19"/>
        </w:rPr>
        <w:t xml:space="preserve">backend/app/api/v1/endpoints/field_reports.py</w:t>
      </w:r>
      <w:r>
        <w:rPr>
          <w:sz w:val="20"/>
          <w:szCs w:val="20"/>
        </w:rPr>
        <w:t xml:space="preserve">  →  POST /field-reports — telemetría de usuario</w:t>
      </w:r>
    </w:p>
    <w:p>
      <w:pPr>
        <w:spacing w:after="70"/>
        <w:ind w:left="200"/>
      </w:pPr>
      <w:r>
        <w:rPr>
          <w:rFonts w:ascii="Consolas" w:cs="Consolas" w:eastAsia="Consolas" w:hAnsi="Consolas"/>
          <w:b/>
          <w:bCs/>
          <w:color w:val="1B5E20"/>
          <w:sz w:val="19"/>
          <w:szCs w:val="19"/>
        </w:rPr>
        <w:t xml:space="preserve">backend/app/connectors/aemet_client.py</w:t>
      </w:r>
      <w:r>
        <w:rPr>
          <w:sz w:val="20"/>
          <w:szCs w:val="20"/>
        </w:rPr>
        <w:t xml:space="preserve">  →  Cliente AEMET OpenData</w:t>
      </w:r>
    </w:p>
    <w:p>
      <w:pPr>
        <w:spacing w:after="70"/>
        <w:ind w:left="200"/>
      </w:pPr>
      <w:r>
        <w:rPr>
          <w:rFonts w:ascii="Consolas" w:cs="Consolas" w:eastAsia="Consolas" w:hAnsi="Consolas"/>
          <w:b/>
          <w:bCs/>
          <w:color w:val="1B5E20"/>
          <w:sz w:val="19"/>
          <w:szCs w:val="19"/>
        </w:rPr>
        <w:t xml:space="preserve">backend/app/connectors/ria_ifapa_client.py</w:t>
      </w:r>
      <w:r>
        <w:rPr>
          <w:sz w:val="20"/>
          <w:szCs w:val="20"/>
        </w:rPr>
        <w:t xml:space="preserve">  →  Cliente RIA/IFAPA — ET₀ y horas de mojado foliar</w:t>
      </w:r>
    </w:p>
    <w:p>
      <w:pPr>
        <w:spacing w:after="70"/>
        <w:ind w:left="200"/>
      </w:pPr>
      <w:r>
        <w:rPr>
          <w:rFonts w:ascii="Consolas" w:cs="Consolas" w:eastAsia="Consolas" w:hAnsi="Consolas"/>
          <w:b/>
          <w:bCs/>
          <w:color w:val="1B5E20"/>
          <w:sz w:val="19"/>
          <w:szCs w:val="19"/>
        </w:rPr>
        <w:t xml:space="preserve">backend/app/connectors/sigpac_wfs_client.py</w:t>
      </w:r>
      <w:r>
        <w:rPr>
          <w:sz w:val="20"/>
          <w:szCs w:val="20"/>
        </w:rPr>
        <w:t xml:space="preserve">  →  Cliente WFS SIGPAC (Fase 2)</w:t>
      </w:r>
    </w:p>
    <w:p>
      <w:pPr>
        <w:spacing w:after="70"/>
        <w:ind w:left="200"/>
      </w:pPr>
      <w:r>
        <w:rPr>
          <w:rFonts w:ascii="Consolas" w:cs="Consolas" w:eastAsia="Consolas" w:hAnsi="Consolas"/>
          <w:b/>
          <w:bCs/>
          <w:color w:val="1B5E20"/>
          <w:sz w:val="19"/>
          <w:szCs w:val="19"/>
        </w:rPr>
        <w:t xml:space="preserve">backend/app/connectors/mapa_fitosanitarios_indexer.py</w:t>
      </w:r>
      <w:r>
        <w:rPr>
          <w:sz w:val="20"/>
          <w:szCs w:val="20"/>
        </w:rPr>
        <w:t xml:space="preserve">  →  Job de indexación periódica del registro MAPA</w:t>
      </w:r>
    </w:p>
    <w:p>
      <w:pPr>
        <w:spacing w:after="70"/>
        <w:ind w:left="200"/>
      </w:pPr>
      <w:r>
        <w:rPr>
          <w:rFonts w:ascii="Consolas" w:cs="Consolas" w:eastAsia="Consolas" w:hAnsi="Consolas"/>
          <w:b/>
          <w:bCs/>
          <w:color w:val="1B5E20"/>
          <w:sz w:val="19"/>
          <w:szCs w:val="19"/>
        </w:rPr>
        <w:t xml:space="preserve">backend/app/connectors/eppo_client.py</w:t>
      </w:r>
      <w:r>
        <w:rPr>
          <w:sz w:val="20"/>
          <w:szCs w:val="20"/>
        </w:rPr>
        <w:t xml:space="preserve">  →  Cliente EPPO Global Database</w:t>
      </w:r>
    </w:p>
    <w:p>
      <w:pPr>
        <w:spacing w:after="70"/>
        <w:ind w:left="200"/>
      </w:pPr>
      <w:r>
        <w:rPr>
          <w:rFonts w:ascii="Consolas" w:cs="Consolas" w:eastAsia="Consolas" w:hAnsi="Consolas"/>
          <w:b/>
          <w:bCs/>
          <w:color w:val="1B5E20"/>
          <w:sz w:val="19"/>
          <w:szCs w:val="19"/>
        </w:rPr>
        <w:t xml:space="preserve">backend/app/domain/disease_rules.py</w:t>
      </w:r>
      <w:r>
        <w:rPr>
          <w:sz w:val="20"/>
          <w:szCs w:val="20"/>
        </w:rPr>
        <w:t xml:space="preserve">  →  Motor de reglas de riesgo por enfermedad (sección 9)</w:t>
      </w:r>
    </w:p>
    <w:p>
      <w:pPr>
        <w:spacing w:after="70"/>
        <w:ind w:left="200"/>
      </w:pPr>
      <w:r>
        <w:rPr>
          <w:rFonts w:ascii="Consolas" w:cs="Consolas" w:eastAsia="Consolas" w:hAnsi="Consolas"/>
          <w:b/>
          <w:bCs/>
          <w:color w:val="1B5E20"/>
          <w:sz w:val="19"/>
          <w:szCs w:val="19"/>
        </w:rPr>
        <w:t xml:space="preserve">backend/app/domain/risk_calibration.py</w:t>
      </w:r>
      <w:r>
        <w:rPr>
          <w:sz w:val="20"/>
          <w:szCs w:val="20"/>
        </w:rPr>
        <w:t xml:space="preserve">  →  Ajuste bayesiano por comarca a partir de field_reports (Fase 3)</w:t>
      </w:r>
    </w:p>
    <w:p>
      <w:pPr>
        <w:spacing w:after="70"/>
        <w:ind w:left="200"/>
      </w:pPr>
      <w:r>
        <w:rPr>
          <w:rFonts w:ascii="Consolas" w:cs="Consolas" w:eastAsia="Consolas" w:hAnsi="Consolas"/>
          <w:b/>
          <w:bCs/>
          <w:color w:val="1B5E20"/>
          <w:sz w:val="19"/>
          <w:szCs w:val="19"/>
        </w:rPr>
        <w:t xml:space="preserve">backend/app/jobs/weather_ingestion_job.py</w:t>
      </w:r>
      <w:r>
        <w:rPr>
          <w:sz w:val="20"/>
          <w:szCs w:val="20"/>
        </w:rPr>
        <w:t xml:space="preserve">  →  Celery beat — ingesta horaria AEMET/RIA-IFAPA</w:t>
      </w:r>
    </w:p>
    <w:p>
      <w:pPr>
        <w:spacing w:after="70"/>
        <w:ind w:left="200"/>
      </w:pPr>
      <w:r>
        <w:rPr>
          <w:rFonts w:ascii="Consolas" w:cs="Consolas" w:eastAsia="Consolas" w:hAnsi="Consolas"/>
          <w:b/>
          <w:bCs/>
          <w:color w:val="1B5E20"/>
          <w:sz w:val="19"/>
          <w:szCs w:val="19"/>
        </w:rPr>
        <w:t xml:space="preserve">backend/app/jobs/risk_recalculation_job.py</w:t>
      </w:r>
      <w:r>
        <w:rPr>
          <w:sz w:val="20"/>
          <w:szCs w:val="20"/>
        </w:rPr>
        <w:t xml:space="preserve">  →  Celery beat — recalcula riesgo y dispara notificaciones</w:t>
      </w:r>
    </w:p>
    <w:p>
      <w:pPr>
        <w:spacing w:after="70"/>
        <w:ind w:left="200"/>
      </w:pPr>
      <w:r>
        <w:rPr>
          <w:rFonts w:ascii="Consolas" w:cs="Consolas" w:eastAsia="Consolas" w:hAnsi="Consolas"/>
          <w:b/>
          <w:bCs/>
          <w:color w:val="1B5E20"/>
          <w:sz w:val="19"/>
          <w:szCs w:val="19"/>
        </w:rPr>
        <w:t xml:space="preserve">backend/app/jobs/mapa_indexing_job.py</w:t>
      </w:r>
      <w:r>
        <w:rPr>
          <w:sz w:val="20"/>
          <w:szCs w:val="20"/>
        </w:rPr>
        <w:t xml:space="preserve">  →  Celery beat — reindexa registro MAPA (semanal)</w:t>
      </w:r>
    </w:p>
    <w:p>
      <w:pPr>
        <w:spacing w:after="70"/>
        <w:ind w:left="200"/>
      </w:pPr>
      <w:r>
        <w:rPr>
          <w:rFonts w:ascii="Consolas" w:cs="Consolas" w:eastAsia="Consolas" w:hAnsi="Consolas"/>
          <w:b/>
          <w:bCs/>
          <w:color w:val="1B5E20"/>
          <w:sz w:val="19"/>
          <w:szCs w:val="19"/>
        </w:rPr>
        <w:t xml:space="preserve">backend/app/notifications/fcm_dispatcher.py</w:t>
      </w:r>
      <w:r>
        <w:rPr>
          <w:sz w:val="20"/>
          <w:szCs w:val="20"/>
        </w:rPr>
        <w:t xml:space="preserve">  →  Envío de push vía Firebase Admin SDK</w:t>
      </w:r>
    </w:p>
    <w:p>
      <w:pPr>
        <w:spacing w:after="70"/>
        <w:ind w:left="200"/>
      </w:pPr>
      <w:r>
        <w:rPr>
          <w:rFonts w:ascii="Consolas" w:cs="Consolas" w:eastAsia="Consolas" w:hAnsi="Consolas"/>
          <w:b/>
          <w:bCs/>
          <w:color w:val="1B5E20"/>
          <w:sz w:val="19"/>
          <w:szCs w:val="19"/>
        </w:rPr>
        <w:t xml:space="preserve">backend/app/db/models.py</w:t>
      </w:r>
      <w:r>
        <w:rPr>
          <w:sz w:val="20"/>
          <w:szCs w:val="20"/>
        </w:rPr>
        <w:t xml:space="preserve">  →  Modelos SQLAlchemy + PostGIS</w:t>
      </w:r>
    </w:p>
    <w:p>
      <w:pPr>
        <w:spacing w:after="70"/>
        <w:ind w:left="200"/>
      </w:pPr>
      <w:r>
        <w:rPr>
          <w:rFonts w:ascii="Consolas" w:cs="Consolas" w:eastAsia="Consolas" w:hAnsi="Consolas"/>
          <w:b/>
          <w:bCs/>
          <w:color w:val="1B5E20"/>
          <w:sz w:val="19"/>
          <w:szCs w:val="19"/>
        </w:rPr>
        <w:t xml:space="preserve">backend/app/db/session.py</w:t>
      </w:r>
      <w:r>
        <w:rPr>
          <w:sz w:val="20"/>
          <w:szCs w:val="20"/>
        </w:rPr>
        <w:t xml:space="preserve">  →  Sesión y engine de base de datos</w:t>
      </w:r>
    </w:p>
    <w:p>
      <w:pPr>
        <w:pStyle w:val="Heading1"/>
        <w:spacing w:after="200" w:before="400"/>
      </w:pPr>
      <w:r>
        <w:t xml:space="preserve">9. Motor de reglas de riesgo fitosanitario (módulo núcleo)</w:t>
      </w:r>
    </w:p>
    <w:p>
      <w:pPr>
        <w:spacing w:after="120"/>
      </w:pPr>
      <w:r>
        <w:t xml:space="preserve">Corrige el error nº 4 de la sección 0: sustituye la "regla de los 10" como único criterio por un modelo de dos capas.</w:t>
      </w:r>
    </w:p>
    <w:p>
      <w:pPr>
        <w:pStyle w:val="Heading3"/>
        <w:spacing w:after="100" w:before="200"/>
      </w:pPr>
      <w:r>
        <w:t xml:space="preserve">Capa 1 — Alerta temprana (heurística de campo)</w:t>
      </w:r>
    </w:p>
    <w:p>
      <w:pPr>
        <w:spacing w:after="120"/>
      </w:pPr>
      <w:r>
        <w:t xml:space="preserve">La "regla de los 10" (≥10 mm de lluvia + ≥10 °C de mínima + brotes ≥10 cm) se mantiene como disparador de aviso preventivo de baja confianza, útil porque no requiere datos horarios y funciona incluso con sólo el parte diario de AEMET.</w:t>
      </w:r>
    </w:p>
    <w:p>
      <w:pPr>
        <w:pStyle w:val="Heading3"/>
        <w:spacing w:after="100" w:before="200"/>
      </w:pPr>
      <w:r>
        <w:t xml:space="preserve">Capa 2 — Modelo de incubación (motor principal)</w:t>
      </w:r>
    </w:p>
    <w:p>
      <w:pPr>
        <w:pStyle w:val="ListParagraph"/>
        <w:numPr>
          <w:ilvl w:val="0"/>
          <w:numId w:val="2"/>
        </w:numPr>
        <w:spacing w:after="60"/>
      </w:pPr>
      <w:r>
        <w:t xml:space="preserve">Repilo (Spilocaea oleagina, olivar): horas continuas de mojado foliar con temperatura media en el rango 15-20 °C, a partir de humedad horaria de estación RIA-IFAPA más próxima a la parcela; umbral inicial de referencia ~24-36 h de mojado continuo, calibrable por comarca.</w:t>
      </w:r>
    </w:p>
    <w:p>
      <w:pPr>
        <w:pStyle w:val="ListParagraph"/>
        <w:numPr>
          <w:ilvl w:val="0"/>
          <w:numId w:val="2"/>
        </w:numPr>
        <w:spacing w:after="60"/>
      </w:pPr>
      <w:r>
        <w:t xml:space="preserve">Mildiu (Plasmopara viticola, viñedo): modelo de incubación basado en temperatura media y horas de humedad foliar &gt;85 % (referencia agronómica citada en el documento original), en vez de únicamente lluvia acumulada de 10 mm.</w:t>
      </w:r>
    </w:p>
    <w:p>
      <w:pPr>
        <w:pStyle w:val="ListParagraph"/>
        <w:numPr>
          <w:ilvl w:val="0"/>
          <w:numId w:val="2"/>
        </w:numPr>
        <w:spacing w:after="60"/>
      </w:pPr>
      <w:r>
        <w:t xml:space="preserve">Corrección de microclima: cuando la estación agroclimática más cercana está a más de un umbral configurable de distancia de la parcela, el nivel de confianza del aviso se reduce ("riesgo estimado" en vez de "riesgo"), en vez de presentarse con la misma certeza — corrige la limitación de representatividad espacial señalada en el propio documento original.</w:t>
      </w:r>
    </w:p>
    <w:p>
      <w:pPr>
        <w:pStyle w:val="ListParagraph"/>
        <w:numPr>
          <w:ilvl w:val="0"/>
          <w:numId w:val="2"/>
        </w:numPr>
        <w:spacing w:after="60"/>
      </w:pPr>
      <w:r>
        <w:t xml:space="preserve">Salida del motor: código de enfermedad, riskScore (0-1), riskLevel, variables usadas y su fecha, y referencia a la versión del registro MAPA consultada para la recomendación de producto asociada (trazabilidad legal, ver sección 13).</w:t>
      </w:r>
    </w:p>
    <w:p>
      <w:pPr>
        <w:pStyle w:val="ListParagraph"/>
        <w:numPr>
          <w:ilvl w:val="0"/>
          <w:numId w:val="2"/>
        </w:numPr>
        <w:spacing w:after="60"/>
      </w:pPr>
      <w:r>
        <w:t xml:space="preserve">Calibración bayesiana (Fase 3): los umbrales se reajustan por comarca a partir de disease_rule_engine + los reportes de campo (field_reports), tal y como proponía el documento original — se conserva esa idea porque es acertada.</w:t>
      </w:r>
    </w:p>
    <w:p>
      <w:pPr>
        <w:pStyle w:val="Heading1"/>
        <w:spacing w:after="200" w:before="400"/>
      </w:pPr>
      <w:r>
        <w:t xml:space="preserve">10. Sistema de notificaciones push</w:t>
      </w:r>
    </w:p>
    <w:p>
      <w:pPr>
        <w:pStyle w:val="ListParagraph"/>
        <w:numPr>
          <w:ilvl w:val="0"/>
          <w:numId w:val="2"/>
        </w:numPr>
        <w:spacing w:after="60"/>
      </w:pPr>
      <w:r>
        <w:t xml:space="preserve">Firebase Cloud Messaging, token registrado en NotificationService y asociado a las parcelas del usuario.</w:t>
      </w:r>
    </w:p>
    <w:p>
      <w:pPr>
        <w:pStyle w:val="ListParagraph"/>
        <w:numPr>
          <w:ilvl w:val="0"/>
          <w:numId w:val="2"/>
        </w:numPr>
        <w:spacing w:after="60"/>
      </w:pPr>
      <w:r>
        <w:t xml:space="preserve">Disparo server-side: risk_recalculation_job evalúa cada parcela tras cada ingesta de clima y, si riskLevel sube de nivel o entra en alto por primera vez, encola una notificación vía fcm_dispatcher.py.</w:t>
      </w:r>
    </w:p>
    <w:p>
      <w:pPr>
        <w:pStyle w:val="ListParagraph"/>
        <w:numPr>
          <w:ilvl w:val="0"/>
          <w:numId w:val="2"/>
        </w:numPr>
        <w:spacing w:after="60"/>
      </w:pPr>
      <w:r>
        <w:t xml:space="preserve">El usuario configura umbral mínimo de severidad y franja horaria de recepción en NotificationPreferencesScreen (evita fatiga de alertas, riesgo de abandono de la app).</w:t>
      </w:r>
    </w:p>
    <w:p>
      <w:pPr>
        <w:pStyle w:val="Heading1"/>
        <w:spacing w:after="200" w:before="400"/>
      </w:pPr>
      <w:r>
        <w:t xml:space="preserve">11. Estrategia offline y resiliencia</w:t>
      </w:r>
    </w:p>
    <w:p>
      <w:pPr>
        <w:pStyle w:val="ListParagraph"/>
        <w:numPr>
          <w:ilvl w:val="0"/>
          <w:numId w:val="2"/>
        </w:numPr>
        <w:spacing w:after="60"/>
      </w:pPr>
      <w:r>
        <w:t xml:space="preserve">Todo GET relevante se cachea en Isar con timestamp; si falla la red, OfflineCacheInterceptor sirve la última respuesta válida marcada isStale = true y la UI muestra OfflineBanner.</w:t>
      </w:r>
    </w:p>
    <w:p>
      <w:pPr>
        <w:pStyle w:val="ListParagraph"/>
        <w:numPr>
          <w:ilvl w:val="0"/>
          <w:numId w:val="2"/>
        </w:numPr>
        <w:spacing w:after="60"/>
      </w:pPr>
      <w:r>
        <w:t xml:space="preserve">Circuit breaker en cada conector del backend (aemet_client, ria_ifapa_client, etc.): tras N fallos consecutivos se deja de reintentar en caliente y se sirve el último dato ingerido correctamente, evitando que una caída de AEMET tumbe el cálculo de riesgo de toda la app.</w:t>
      </w:r>
    </w:p>
    <w:p>
      <w:pPr>
        <w:pStyle w:val="ListParagraph"/>
        <w:numPr>
          <w:ilvl w:val="0"/>
          <w:numId w:val="2"/>
        </w:numPr>
        <w:spacing w:after="60"/>
      </w:pPr>
      <w:r>
        <w:t xml:space="preserve">Los jobs de ingesta (Celery) son idempotentes y reintentables con backoff exponencial.</w:t>
      </w:r>
    </w:p>
    <w:p>
      <w:pPr>
        <w:pStyle w:val="Heading1"/>
        <w:spacing w:after="200" w:before="400"/>
      </w:pPr>
      <w:r>
        <w:t xml:space="preserve">12. Sistema de diseño UI/UX</w:t>
      </w:r>
    </w:p>
    <w:p>
      <w:pPr>
        <w:pStyle w:val="Heading3"/>
        <w:spacing w:after="100" w:before="200"/>
      </w:pPr>
      <w:r>
        <w:t xml:space="preserve">Fundamentos</w:t>
      </w:r>
    </w:p>
    <w:p>
      <w:pPr>
        <w:pStyle w:val="ListParagraph"/>
        <w:numPr>
          <w:ilvl w:val="0"/>
          <w:numId w:val="2"/>
        </w:numPr>
        <w:spacing w:after="60"/>
      </w:pPr>
      <w:r>
        <w:t xml:space="preserve">Material 3 (Material You), soporte automático de modo claro/oscuro.</w:t>
      </w:r>
    </w:p>
    <w:p>
      <w:pPr>
        <w:pStyle w:val="ListParagraph"/>
        <w:numPr>
          <w:ilvl w:val="0"/>
          <w:numId w:val="2"/>
        </w:numPr>
        <w:spacing w:after="60"/>
      </w:pPr>
      <w:r>
        <w:t xml:space="preserve">Paleta: primary verde agrícola (Color(0xFF2E7D32)), acentos ámbar/rojo reservados exclusivamente a los niveles de riesgo medio/alto (no se reutilizan en UI decorativa, para no diluir su significado).</w:t>
      </w:r>
    </w:p>
    <w:p>
      <w:pPr>
        <w:pStyle w:val="ListParagraph"/>
        <w:numPr>
          <w:ilvl w:val="0"/>
          <w:numId w:val="2"/>
        </w:numPr>
        <w:spacing w:after="60"/>
      </w:pPr>
      <w:r>
        <w:t xml:space="preserve">Transiciones: paquete animations — SharedAxisPageTransitionsBuilder entre pantallas de navegación principal, FadeThroughPageTransitionsBuilder al cambiar de pestaña.</w:t>
      </w:r>
    </w:p>
    <w:p>
      <w:pPr>
        <w:pStyle w:val="ListParagraph"/>
        <w:numPr>
          <w:ilvl w:val="0"/>
          <w:numId w:val="2"/>
        </w:numPr>
        <w:spacing w:after="60"/>
      </w:pPr>
      <w:r>
        <w:t xml:space="preserve">Micro-interacciones: flutter_animate para la entrada de tarjetas de aviso (fade + slide), TweenAnimationBuilder en RiskGaugeWidget para animar el medidor de riesgo al cargar o actualizar dato.</w:t>
      </w:r>
    </w:p>
    <w:p>
      <w:pPr>
        <w:pStyle w:val="ListParagraph"/>
        <w:numPr>
          <w:ilvl w:val="0"/>
          <w:numId w:val="2"/>
        </w:numPr>
        <w:spacing w:after="60"/>
      </w:pPr>
      <w:r>
        <w:t xml:space="preserve">Iconografía animada (Lottie) para estados de clima (lluvia, sol, viento) en WeatherSummaryCard.</w:t>
      </w:r>
    </w:p>
    <w:p>
      <w:pPr>
        <w:pStyle w:val="Heading3"/>
        <w:spacing w:after="100" w:before="200"/>
      </w:pPr>
      <w:r>
        <w:t xml:space="preserve">Responsive / adaptable a cualquier pantalla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2E7D32" w:color="2E7D32" w:val="clear"/>
            <w:tcMar>
              <w:top w:type="dxa" w:w="80"/>
              <w:left w:type="dxa" w:w="100"/>
              <w:bottom w:type="dxa" w:w="80"/>
              <w:right w:type="dxa" w:w="100"/>
            </w:tcMar>
          </w:tcPr>
          <w:p>
            <w:r>
              <w:rPr>
                <w:b/>
                <w:bCs/>
                <w:color w:val="FFFFFF"/>
                <w:sz w:val="19"/>
                <w:szCs w:val="19"/>
              </w:rPr>
              <w:t xml:space="preserve">Breakpoint</w:t>
            </w:r>
          </w:p>
        </w:tc>
        <w:tc>
          <w:tcPr>
            <w:tcW w:type="pct" w:w="65%"/>
            <w:shd w:fill="2E7D32" w:color="2E7D32" w:val="clear"/>
            <w:tcMar>
              <w:top w:type="dxa" w:w="80"/>
              <w:left w:type="dxa" w:w="100"/>
              <w:bottom w:type="dxa" w:w="80"/>
              <w:right w:type="dxa" w:w="100"/>
            </w:tcMar>
          </w:tcPr>
          <w:p>
            <w:r>
              <w:rPr>
                <w:b/>
                <w:bCs/>
                <w:color w:val="FFFFFF"/>
                <w:sz w:val="19"/>
                <w:szCs w:val="19"/>
              </w:rPr>
              <w:t xml:space="preserve">Layout</w:t>
            </w:r>
          </w:p>
        </w:tc>
      </w:tr>
      <w:tr>
        <w:tc>
          <w:tcPr>
            <w:tcW w:type="pct" w:w="35%"/>
            <w:tcMar>
              <w:top w:type="dxa" w:w="80"/>
              <w:left w:type="dxa" w:w="100"/>
              <w:bottom w:type="dxa" w:w="80"/>
              <w:right w:type="dxa" w:w="100"/>
            </w:tcMar>
          </w:tcPr>
          <w:p>
            <w:r>
              <w:rPr>
                <w:b w:val="false"/>
                <w:bCs w:val="false"/>
                <w:color w:val="000000"/>
                <w:sz w:val="19"/>
                <w:szCs w:val="19"/>
              </w:rPr>
              <w:t xml:space="preserve">&lt; 600dp (móvil)</w:t>
            </w:r>
          </w:p>
        </w:tc>
        <w:tc>
          <w:tcPr>
            <w:tcW w:type="pct" w:w="65%"/>
            <w:tcMar>
              <w:top w:type="dxa" w:w="80"/>
              <w:left w:type="dxa" w:w="100"/>
              <w:bottom w:type="dxa" w:w="80"/>
              <w:right w:type="dxa" w:w="100"/>
            </w:tcMar>
          </w:tcPr>
          <w:p>
            <w:r>
              <w:rPr>
                <w:b w:val="false"/>
                <w:bCs w:val="false"/>
                <w:color w:val="000000"/>
                <w:sz w:val="19"/>
                <w:szCs w:val="19"/>
              </w:rPr>
              <w:t xml:space="preserve">AdaptiveNavigationScaffold con NavigationBar inferior; listados en columna única</w:t>
            </w:r>
          </w:p>
        </w:tc>
      </w:tr>
      <w:tr>
        <w:tc>
          <w:tcPr>
            <w:tcW w:type="pct" w:w="35%"/>
            <w:tcMar>
              <w:top w:type="dxa" w:w="80"/>
              <w:left w:type="dxa" w:w="100"/>
              <w:bottom w:type="dxa" w:w="80"/>
              <w:right w:type="dxa" w:w="100"/>
            </w:tcMar>
          </w:tcPr>
          <w:p>
            <w:r>
              <w:rPr>
                <w:b w:val="false"/>
                <w:bCs w:val="false"/>
                <w:color w:val="000000"/>
                <w:sz w:val="19"/>
                <w:szCs w:val="19"/>
              </w:rPr>
              <w:t xml:space="preserve">600–1024dp (tablet / plegable)</w:t>
            </w:r>
          </w:p>
        </w:tc>
        <w:tc>
          <w:tcPr>
            <w:tcW w:type="pct" w:w="65%"/>
            <w:tcMar>
              <w:top w:type="dxa" w:w="80"/>
              <w:left w:type="dxa" w:w="100"/>
              <w:bottom w:type="dxa" w:w="80"/>
              <w:right w:type="dxa" w:w="100"/>
            </w:tcMar>
          </w:tcPr>
          <w:p>
            <w:r>
              <w:rPr>
                <w:b w:val="false"/>
                <w:bCs w:val="false"/>
                <w:color w:val="000000"/>
                <w:sz w:val="19"/>
                <w:szCs w:val="19"/>
              </w:rPr>
              <w:t xml:space="preserve">NavigationRail lateral; listados en cuadrícula de 2 columnas</w:t>
            </w:r>
          </w:p>
        </w:tc>
      </w:tr>
      <w:tr>
        <w:tc>
          <w:tcPr>
            <w:tcW w:type="pct" w:w="35%"/>
            <w:tcMar>
              <w:top w:type="dxa" w:w="80"/>
              <w:left w:type="dxa" w:w="100"/>
              <w:bottom w:type="dxa" w:w="80"/>
              <w:right w:type="dxa" w:w="100"/>
            </w:tcMar>
          </w:tcPr>
          <w:p>
            <w:r>
              <w:rPr>
                <w:b w:val="false"/>
                <w:bCs w:val="false"/>
                <w:color w:val="000000"/>
                <w:sz w:val="19"/>
                <w:szCs w:val="19"/>
              </w:rPr>
              <w:t xml:space="preserve">&gt; 1024dp (web / escritorio)</w:t>
            </w:r>
          </w:p>
        </w:tc>
        <w:tc>
          <w:tcPr>
            <w:tcW w:type="pct" w:w="65%"/>
            <w:tcMar>
              <w:top w:type="dxa" w:w="80"/>
              <w:left w:type="dxa" w:w="100"/>
              <w:bottom w:type="dxa" w:w="80"/>
              <w:right w:type="dxa" w:w="100"/>
            </w:tcMar>
          </w:tcPr>
          <w:p>
            <w:r>
              <w:rPr>
                <w:b w:val="false"/>
                <w:bCs w:val="false"/>
                <w:color w:val="000000"/>
                <w:sz w:val="19"/>
                <w:szCs w:val="19"/>
              </w:rPr>
              <w:t xml:space="preserve">NavigationRail extendido con etiquetas visibles; cuadrícula de 3 columnas y panel de detalle lateral (layout maestro-detalle) en vez de navegación por pantalla completa</w:t>
            </w:r>
          </w:p>
        </w:tc>
      </w:tr>
    </w:tbl>
    <w:p>
      <w:pPr>
        <w:spacing w:after="120"/>
      </w:pPr>
      <w:r>
        <w:t xml:space="preserve">ResponsiveLayoutBuilder centraliza estos tres breakpoints para que ninguna pantalla los defina de forma ad-hoc.</w:t>
      </w:r>
    </w:p>
    <w:p>
      <w:pPr>
        <w:pStyle w:val="Heading1"/>
        <w:spacing w:after="200" w:before="400"/>
      </w:pPr>
      <w:r>
        <w:t xml:space="preserve">13. Seguridad, privacidad y aspectos legales</w:t>
      </w:r>
    </w:p>
    <w:p>
      <w:pPr>
        <w:pStyle w:val="ListParagraph"/>
        <w:numPr>
          <w:ilvl w:val="0"/>
          <w:numId w:val="2"/>
        </w:numPr>
        <w:spacing w:after="60"/>
      </w:pPr>
      <w:r>
        <w:t xml:space="preserve">RGPD: la geolocalización de parcelas es un dato vinculable a la actividad económica del titular; se solicita consentimiento explícito y separado del resto de permisos, y se permite exportar/borrar los datos de parcela desde SettingsScreen.</w:t>
      </w:r>
    </w:p>
    <w:p>
      <w:pPr>
        <w:pStyle w:val="ListParagraph"/>
        <w:numPr>
          <w:ilvl w:val="0"/>
          <w:numId w:val="2"/>
        </w:numPr>
        <w:spacing w:after="60"/>
      </w:pPr>
      <w:r>
        <w:t xml:space="preserve">Aviso legal obligatorio en AlertDetailScreen y ProductDetailScreen: la recomendación es orientativa y no sustituye al asesoramiento de un técnico agrícola cualificado ni exime de comprobar la vigencia de la autorización en el registro oficial del MAPA.</w:t>
      </w:r>
    </w:p>
    <w:p>
      <w:pPr>
        <w:pStyle w:val="ListParagraph"/>
        <w:numPr>
          <w:ilvl w:val="0"/>
          <w:numId w:val="2"/>
        </w:numPr>
        <w:spacing w:after="60"/>
      </w:pPr>
      <w:r>
        <w:t xml:space="preserve">Trazabilidad normativa: cada recomendación de producto guarda la fecha de la versión del registro MAPA usada, para poder responder ante una inspección o reclamación si el registro cambió después.</w:t>
      </w:r>
    </w:p>
    <w:p>
      <w:pPr>
        <w:pStyle w:val="ListParagraph"/>
        <w:numPr>
          <w:ilvl w:val="0"/>
          <w:numId w:val="2"/>
        </w:numPr>
        <w:spacing w:after="60"/>
      </w:pPr>
      <w:r>
        <w:t xml:space="preserve">Autenticación de endpoints backend mediante verificación de token Firebase; ningún endpoint de escritura es anónimo.</w:t>
      </w:r>
    </w:p>
    <w:p>
      <w:pPr>
        <w:pStyle w:val="Heading1"/>
        <w:spacing w:after="200" w:before="400"/>
      </w:pPr>
      <w:r>
        <w:t xml:space="preserve">14. Testing y CI/CD</w:t>
      </w:r>
    </w:p>
    <w:p>
      <w:pPr>
        <w:pStyle w:val="ListParagraph"/>
        <w:numPr>
          <w:ilvl w:val="0"/>
          <w:numId w:val="2"/>
        </w:numPr>
        <w:spacing w:after="60"/>
      </w:pPr>
      <w:r>
        <w:t xml:space="preserve">Flutter: widget tests para RiskGaugeWidget y AdaptiveNavigationScaffold; tests de integración del flujo alta de parcela → aviso mostrado.</w:t>
      </w:r>
    </w:p>
    <w:p>
      <w:pPr>
        <w:pStyle w:val="ListParagraph"/>
        <w:numPr>
          <w:ilvl w:val="0"/>
          <w:numId w:val="2"/>
        </w:numPr>
        <w:spacing w:after="60"/>
      </w:pPr>
      <w:r>
        <w:t xml:space="preserve">Backend: tests unitarios de domain/disease_rules.py con series climáticas históricas conocidas (casos de repilo/mildiu documentados) para evitar regresiones silenciosas en el cálculo de riesgo.</w:t>
      </w:r>
    </w:p>
    <w:p>
      <w:pPr>
        <w:pStyle w:val="ListParagraph"/>
        <w:numPr>
          <w:ilvl w:val="0"/>
          <w:numId w:val="2"/>
        </w:numPr>
        <w:spacing w:after="60"/>
      </w:pPr>
      <w:r>
        <w:t xml:space="preserve">CI/CD: pipeline (GitHub Actions) con lint + test en cada PR; build de Flutter (Android/iOS/Web) y despliegue del backend en contenedor sólo desde main tras pasar los tests.</w:t>
      </w:r>
    </w:p>
    <w:p>
      <w:pPr>
        <w:pStyle w:val="Heading1"/>
        <w:spacing w:after="200" w:before="400"/>
      </w:pPr>
      <w:r>
        <w:t xml:space="preserve">15. Roadmap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2E7D32" w:color="2E7D32" w:val="clear"/>
            <w:tcMar>
              <w:top w:type="dxa" w:w="80"/>
              <w:left w:type="dxa" w:w="100"/>
              <w:bottom w:type="dxa" w:w="80"/>
              <w:right w:type="dxa" w:w="100"/>
            </w:tcMar>
          </w:tcPr>
          <w:p>
            <w:r>
              <w:rPr>
                <w:b/>
                <w:bCs/>
                <w:color w:val="FFFFFF"/>
                <w:sz w:val="19"/>
                <w:szCs w:val="19"/>
              </w:rPr>
              <w:t xml:space="preserve">Fase</w:t>
            </w:r>
          </w:p>
        </w:tc>
        <w:tc>
          <w:tcPr>
            <w:tcW w:type="pct" w:w="14%"/>
            <w:shd w:fill="2E7D32" w:color="2E7D32" w:val="clear"/>
            <w:tcMar>
              <w:top w:type="dxa" w:w="80"/>
              <w:left w:type="dxa" w:w="100"/>
              <w:bottom w:type="dxa" w:w="80"/>
              <w:right w:type="dxa" w:w="100"/>
            </w:tcMar>
          </w:tcPr>
          <w:p>
            <w:r>
              <w:rPr>
                <w:b/>
                <w:bCs/>
                <w:color w:val="FFFFFF"/>
                <w:sz w:val="19"/>
                <w:szCs w:val="19"/>
              </w:rPr>
              <w:t xml:space="preserve">Plazo</w:t>
            </w:r>
          </w:p>
        </w:tc>
        <w:tc>
          <w:tcPr>
            <w:tcW w:type="pct" w:w="42%"/>
            <w:shd w:fill="2E7D32" w:color="2E7D32" w:val="clear"/>
            <w:tcMar>
              <w:top w:type="dxa" w:w="80"/>
              <w:left w:type="dxa" w:w="100"/>
              <w:bottom w:type="dxa" w:w="80"/>
              <w:right w:type="dxa" w:w="100"/>
            </w:tcMar>
          </w:tcPr>
          <w:p>
            <w:r>
              <w:rPr>
                <w:b/>
                <w:bCs/>
                <w:color w:val="FFFFFF"/>
                <w:sz w:val="19"/>
                <w:szCs w:val="19"/>
              </w:rPr>
              <w:t xml:space="preserve">Objetivo</w:t>
            </w:r>
          </w:p>
        </w:tc>
        <w:tc>
          <w:tcPr>
            <w:tcW w:type="pct" w:w="28%"/>
            <w:shd w:fill="2E7D32" w:color="2E7D32" w:val="clear"/>
            <w:tcMar>
              <w:top w:type="dxa" w:w="80"/>
              <w:left w:type="dxa" w:w="100"/>
              <w:bottom w:type="dxa" w:w="80"/>
              <w:right w:type="dxa" w:w="100"/>
            </w:tcMar>
          </w:tcPr>
          <w:p>
            <w:r>
              <w:rPr>
                <w:b/>
                <w:bCs/>
                <w:color w:val="FFFFFF"/>
                <w:sz w:val="19"/>
                <w:szCs w:val="19"/>
              </w:rPr>
              <w:t xml:space="preserve">Módulos</w:t>
            </w:r>
          </w:p>
        </w:tc>
      </w:tr>
      <w:tr>
        <w:tc>
          <w:tcPr>
            <w:tcW w:type="pct" w:w="16%"/>
            <w:tcMar>
              <w:top w:type="dxa" w:w="80"/>
              <w:left w:type="dxa" w:w="100"/>
              <w:bottom w:type="dxa" w:w="80"/>
              <w:right w:type="dxa" w:w="100"/>
            </w:tcMar>
          </w:tcPr>
          <w:p>
            <w:r>
              <w:rPr>
                <w:b w:val="false"/>
                <w:bCs w:val="false"/>
                <w:color w:val="000000"/>
                <w:sz w:val="19"/>
                <w:szCs w:val="19"/>
              </w:rPr>
              <w:t xml:space="preserve">Fase 1 — MVP</w:t>
            </w:r>
          </w:p>
        </w:tc>
        <w:tc>
          <w:tcPr>
            <w:tcW w:type="pct" w:w="14%"/>
            <w:tcMar>
              <w:top w:type="dxa" w:w="80"/>
              <w:left w:type="dxa" w:w="100"/>
              <w:bottom w:type="dxa" w:w="80"/>
              <w:right w:type="dxa" w:w="100"/>
            </w:tcMar>
          </w:tcPr>
          <w:p>
            <w:r>
              <w:rPr>
                <w:b w:val="false"/>
                <w:bCs w:val="false"/>
                <w:color w:val="000000"/>
                <w:sz w:val="19"/>
                <w:szCs w:val="19"/>
              </w:rPr>
              <w:t xml:space="preserve">Meses 1–3</w:t>
            </w:r>
          </w:p>
        </w:tc>
        <w:tc>
          <w:tcPr>
            <w:tcW w:type="pct" w:w="42%"/>
            <w:tcMar>
              <w:top w:type="dxa" w:w="80"/>
              <w:left w:type="dxa" w:w="100"/>
              <w:bottom w:type="dxa" w:w="80"/>
              <w:right w:type="dxa" w:w="100"/>
            </w:tcMar>
          </w:tcPr>
          <w:p>
            <w:r>
              <w:rPr>
                <w:b w:val="false"/>
                <w:bCs w:val="false"/>
                <w:color w:val="000000"/>
                <w:sz w:val="19"/>
                <w:szCs w:val="19"/>
              </w:rPr>
              <w:t xml:space="preserve">Alta simplificada de parcela (GPS/dibujo manual); motor de riesgo repilo + mildiu (capa 1 y 2); buscador de producto MAPA; notificaciones push</w:t>
            </w:r>
          </w:p>
        </w:tc>
        <w:tc>
          <w:tcPr>
            <w:tcW w:type="pct" w:w="28%"/>
            <w:tcMar>
              <w:top w:type="dxa" w:w="80"/>
              <w:left w:type="dxa" w:w="100"/>
              <w:bottom w:type="dxa" w:w="80"/>
              <w:right w:type="dxa" w:w="100"/>
            </w:tcMar>
          </w:tcPr>
          <w:p>
            <w:r>
              <w:rPr>
                <w:b w:val="false"/>
                <w:bCs w:val="false"/>
                <w:color w:val="000000"/>
                <w:sz w:val="19"/>
                <w:szCs w:val="19"/>
              </w:rPr>
              <w:t xml:space="preserve">parcels · disease_alerts · phytosanitary · notificaciones</w:t>
            </w:r>
          </w:p>
        </w:tc>
      </w:tr>
      <w:tr>
        <w:tc>
          <w:tcPr>
            <w:tcW w:type="pct" w:w="16%"/>
            <w:tcMar>
              <w:top w:type="dxa" w:w="80"/>
              <w:left w:type="dxa" w:w="100"/>
              <w:bottom w:type="dxa" w:w="80"/>
              <w:right w:type="dxa" w:w="100"/>
            </w:tcMar>
          </w:tcPr>
          <w:p>
            <w:r>
              <w:rPr>
                <w:b w:val="false"/>
                <w:bCs w:val="false"/>
                <w:color w:val="000000"/>
                <w:sz w:val="19"/>
                <w:szCs w:val="19"/>
              </w:rPr>
              <w:t xml:space="preserve">Fase 2 — Consolidación</w:t>
            </w:r>
          </w:p>
        </w:tc>
        <w:tc>
          <w:tcPr>
            <w:tcW w:type="pct" w:w="14%"/>
            <w:tcMar>
              <w:top w:type="dxa" w:w="80"/>
              <w:left w:type="dxa" w:w="100"/>
              <w:bottom w:type="dxa" w:w="80"/>
              <w:right w:type="dxa" w:w="100"/>
            </w:tcMar>
          </w:tcPr>
          <w:p>
            <w:r>
              <w:rPr>
                <w:b w:val="false"/>
                <w:bCs w:val="false"/>
                <w:color w:val="000000"/>
                <w:sz w:val="19"/>
                <w:szCs w:val="19"/>
              </w:rPr>
              <w:t xml:space="preserve">Meses 4–8</w:t>
            </w:r>
          </w:p>
        </w:tc>
        <w:tc>
          <w:tcPr>
            <w:tcW w:type="pct" w:w="42%"/>
            <w:tcMar>
              <w:top w:type="dxa" w:w="80"/>
              <w:left w:type="dxa" w:w="100"/>
              <w:bottom w:type="dxa" w:w="80"/>
              <w:right w:type="dxa" w:w="100"/>
            </w:tcMar>
          </w:tcPr>
          <w:p>
            <w:r>
              <w:rPr>
                <w:b w:val="false"/>
                <w:bCs w:val="false"/>
                <w:color w:val="000000"/>
                <w:sz w:val="19"/>
                <w:szCs w:val="19"/>
              </w:rPr>
              <w:t xml:space="preserve">Importación SIGPAC vía WFS; NDVI/NDWI Sentinel-2; caché offline avanzada (PMTiles si se incorpora mapa satelital)</w:t>
            </w:r>
          </w:p>
        </w:tc>
        <w:tc>
          <w:tcPr>
            <w:tcW w:type="pct" w:w="28%"/>
            <w:tcMar>
              <w:top w:type="dxa" w:w="80"/>
              <w:left w:type="dxa" w:w="100"/>
              <w:bottom w:type="dxa" w:w="80"/>
              <w:right w:type="dxa" w:w="100"/>
            </w:tcMar>
          </w:tcPr>
          <w:p>
            <w:r>
              <w:rPr>
                <w:b w:val="false"/>
                <w:bCs w:val="false"/>
                <w:color w:val="000000"/>
                <w:sz w:val="19"/>
                <w:szCs w:val="19"/>
              </w:rPr>
              <w:t xml:space="preserve">SIGPAC · Copernicus · offline avanzado</w:t>
            </w:r>
          </w:p>
        </w:tc>
      </w:tr>
      <w:tr>
        <w:tc>
          <w:tcPr>
            <w:tcW w:type="pct" w:w="16%"/>
            <w:tcMar>
              <w:top w:type="dxa" w:w="80"/>
              <w:left w:type="dxa" w:w="100"/>
              <w:bottom w:type="dxa" w:w="80"/>
              <w:right w:type="dxa" w:w="100"/>
            </w:tcMar>
          </w:tcPr>
          <w:p>
            <w:r>
              <w:rPr>
                <w:b w:val="false"/>
                <w:bCs w:val="false"/>
                <w:color w:val="000000"/>
                <w:sz w:val="19"/>
                <w:szCs w:val="19"/>
              </w:rPr>
              <w:t xml:space="preserve">Fase 3 — Diferenciación</w:t>
            </w:r>
          </w:p>
        </w:tc>
        <w:tc>
          <w:tcPr>
            <w:tcW w:type="pct" w:w="14%"/>
            <w:tcMar>
              <w:top w:type="dxa" w:w="80"/>
              <w:left w:type="dxa" w:w="100"/>
              <w:bottom w:type="dxa" w:w="80"/>
              <w:right w:type="dxa" w:w="100"/>
            </w:tcMar>
          </w:tcPr>
          <w:p>
            <w:r>
              <w:rPr>
                <w:b w:val="false"/>
                <w:bCs w:val="false"/>
                <w:color w:val="000000"/>
                <w:sz w:val="19"/>
                <w:szCs w:val="19"/>
              </w:rPr>
              <w:t xml:space="preserve">Meses 9–12+</w:t>
            </w:r>
          </w:p>
        </w:tc>
        <w:tc>
          <w:tcPr>
            <w:tcW w:type="pct" w:w="42%"/>
            <w:tcMar>
              <w:top w:type="dxa" w:w="80"/>
              <w:left w:type="dxa" w:w="100"/>
              <w:bottom w:type="dxa" w:w="80"/>
              <w:right w:type="dxa" w:w="100"/>
            </w:tcMar>
          </w:tcPr>
          <w:p>
            <w:r>
              <w:rPr>
                <w:b w:val="false"/>
                <w:bCs w:val="false"/>
                <w:color w:val="000000"/>
                <w:sz w:val="19"/>
                <w:szCs w:val="19"/>
              </w:rPr>
              <w:t xml:space="preserve">field_reports y calibración bayesiana por comarca; evaluación de monetización (paywall/anuncios); posible migración a maplibre_gl si el volumen de capas lo justifica</w:t>
            </w:r>
          </w:p>
        </w:tc>
        <w:tc>
          <w:tcPr>
            <w:tcW w:type="pct" w:w="28%"/>
            <w:tcMar>
              <w:top w:type="dxa" w:w="80"/>
              <w:left w:type="dxa" w:w="100"/>
              <w:bottom w:type="dxa" w:w="80"/>
              <w:right w:type="dxa" w:w="100"/>
            </w:tcMar>
          </w:tcPr>
          <w:p>
            <w:r>
              <w:rPr>
                <w:b w:val="false"/>
                <w:bCs w:val="false"/>
                <w:color w:val="000000"/>
                <w:sz w:val="19"/>
                <w:szCs w:val="19"/>
              </w:rPr>
              <w:t xml:space="preserve">field_reports · risk_calibration · monetización</w:t>
            </w:r>
          </w:p>
        </w:tc>
      </w:tr>
    </w:tbl>
    <w:p>
      <w:pPr>
        <w:pStyle w:val="Heading1"/>
        <w:spacing w:after="200" w:before="400"/>
      </w:pPr>
      <w:r>
        <w:t xml:space="preserve">16. Anexo — Dependencias principales (pubspec.yaml)</w:t>
      </w:r>
    </w:p>
    <w:p>
      <w:pPr>
        <w:shd w:fill="F1F3F4" w:val="clear"/>
        <w:spacing w:after="40"/>
      </w:pPr>
      <w:r>
        <w:rPr>
          <w:rFonts w:ascii="Consolas" w:cs="Consolas" w:eastAsia="Consolas" w:hAnsi="Consolas"/>
          <w:sz w:val="19"/>
          <w:szCs w:val="19"/>
        </w:rPr>
        <w:t xml:space="preserve">dependencies:</w:t>
      </w:r>
    </w:p>
    <w:p>
      <w:pPr>
        <w:shd w:fill="F1F3F4" w:val="clear"/>
        <w:spacing w:after="40"/>
      </w:pPr>
      <w:r>
        <w:rPr>
          <w:rFonts w:ascii="Consolas" w:cs="Consolas" w:eastAsia="Consolas" w:hAnsi="Consolas"/>
          <w:sz w:val="19"/>
          <w:szCs w:val="19"/>
        </w:rPr>
        <w:t xml:space="preserve">  flutter_riverpod: ^2.5.0</w:t>
      </w:r>
    </w:p>
    <w:p>
      <w:pPr>
        <w:shd w:fill="F1F3F4" w:val="clear"/>
        <w:spacing w:after="40"/>
      </w:pPr>
      <w:r>
        <w:rPr>
          <w:rFonts w:ascii="Consolas" w:cs="Consolas" w:eastAsia="Consolas" w:hAnsi="Consolas"/>
          <w:sz w:val="19"/>
          <w:szCs w:val="19"/>
        </w:rPr>
        <w:t xml:space="preserve">  go_router: ^14.0.0</w:t>
      </w:r>
    </w:p>
    <w:p>
      <w:pPr>
        <w:shd w:fill="F1F3F4" w:val="clear"/>
        <w:spacing w:after="40"/>
      </w:pPr>
      <w:r>
        <w:rPr>
          <w:rFonts w:ascii="Consolas" w:cs="Consolas" w:eastAsia="Consolas" w:hAnsi="Consolas"/>
          <w:sz w:val="19"/>
          <w:szCs w:val="19"/>
        </w:rPr>
        <w:t xml:space="preserve">  dio: ^5.4.0</w:t>
      </w:r>
    </w:p>
    <w:p>
      <w:pPr>
        <w:shd w:fill="F1F3F4" w:val="clear"/>
        <w:spacing w:after="40"/>
      </w:pPr>
      <w:r>
        <w:rPr>
          <w:rFonts w:ascii="Consolas" w:cs="Consolas" w:eastAsia="Consolas" w:hAnsi="Consolas"/>
          <w:sz w:val="19"/>
          <w:szCs w:val="19"/>
        </w:rPr>
        <w:t xml:space="preserve">  isar: ^3.1.0</w:t>
      </w:r>
    </w:p>
    <w:p>
      <w:pPr>
        <w:shd w:fill="F1F3F4" w:val="clear"/>
        <w:spacing w:after="40"/>
      </w:pPr>
      <w:r>
        <w:rPr>
          <w:rFonts w:ascii="Consolas" w:cs="Consolas" w:eastAsia="Consolas" w:hAnsi="Consolas"/>
          <w:sz w:val="19"/>
          <w:szCs w:val="19"/>
        </w:rPr>
        <w:t xml:space="preserve">  isar_flutter_libs: ^3.1.0</w:t>
      </w:r>
    </w:p>
    <w:p>
      <w:pPr>
        <w:shd w:fill="F1F3F4" w:val="clear"/>
        <w:spacing w:after="40"/>
      </w:pPr>
      <w:r>
        <w:rPr>
          <w:rFonts w:ascii="Consolas" w:cs="Consolas" w:eastAsia="Consolas" w:hAnsi="Consolas"/>
          <w:sz w:val="19"/>
          <w:szCs w:val="19"/>
        </w:rPr>
        <w:t xml:space="preserve">  firebase_core: ^3.0.0</w:t>
      </w:r>
    </w:p>
    <w:p>
      <w:pPr>
        <w:shd w:fill="F1F3F4" w:val="clear"/>
        <w:spacing w:after="40"/>
      </w:pPr>
      <w:r>
        <w:rPr>
          <w:rFonts w:ascii="Consolas" w:cs="Consolas" w:eastAsia="Consolas" w:hAnsi="Consolas"/>
          <w:sz w:val="19"/>
          <w:szCs w:val="19"/>
        </w:rPr>
        <w:t xml:space="preserve">  firebase_messaging: ^15.0.0</w:t>
      </w:r>
    </w:p>
    <w:p>
      <w:pPr>
        <w:shd w:fill="F1F3F4" w:val="clear"/>
        <w:spacing w:after="40"/>
      </w:pPr>
      <w:r>
        <w:rPr>
          <w:rFonts w:ascii="Consolas" w:cs="Consolas" w:eastAsia="Consolas" w:hAnsi="Consolas"/>
          <w:sz w:val="19"/>
          <w:szCs w:val="19"/>
        </w:rPr>
        <w:t xml:space="preserve">  flutter_map: ^7.0.0</w:t>
      </w:r>
    </w:p>
    <w:p>
      <w:pPr>
        <w:shd w:fill="F1F3F4" w:val="clear"/>
        <w:spacing w:after="40"/>
      </w:pPr>
      <w:r>
        <w:rPr>
          <w:rFonts w:ascii="Consolas" w:cs="Consolas" w:eastAsia="Consolas" w:hAnsi="Consolas"/>
          <w:sz w:val="19"/>
          <w:szCs w:val="19"/>
        </w:rPr>
        <w:t xml:space="preserve">  latlong2: ^0.9.1</w:t>
      </w:r>
    </w:p>
    <w:p>
      <w:pPr>
        <w:shd w:fill="F1F3F4" w:val="clear"/>
        <w:spacing w:after="40"/>
      </w:pPr>
      <w:r>
        <w:rPr>
          <w:rFonts w:ascii="Consolas" w:cs="Consolas" w:eastAsia="Consolas" w:hAnsi="Consolas"/>
          <w:sz w:val="19"/>
          <w:szCs w:val="19"/>
        </w:rPr>
        <w:t xml:space="preserve">  animations: ^2.0.11</w:t>
      </w:r>
    </w:p>
    <w:p>
      <w:pPr>
        <w:shd w:fill="F1F3F4" w:val="clear"/>
        <w:spacing w:after="40"/>
      </w:pPr>
      <w:r>
        <w:rPr>
          <w:rFonts w:ascii="Consolas" w:cs="Consolas" w:eastAsia="Consolas" w:hAnsi="Consolas"/>
          <w:sz w:val="19"/>
          <w:szCs w:val="19"/>
        </w:rPr>
        <w:t xml:space="preserve">  flutter_animate: ^4.5.0</w:t>
      </w:r>
    </w:p>
    <w:p>
      <w:pPr>
        <w:shd w:fill="F1F3F4" w:val="clear"/>
        <w:spacing w:after="40"/>
      </w:pPr>
      <w:r>
        <w:rPr>
          <w:rFonts w:ascii="Consolas" w:cs="Consolas" w:eastAsia="Consolas" w:hAnsi="Consolas"/>
          <w:sz w:val="19"/>
          <w:szCs w:val="19"/>
        </w:rPr>
        <w:t xml:space="preserve">  lottie: ^3.1.0</w:t>
      </w:r>
    </w:p>
    <w:p>
      <w:pPr>
        <w:shd w:fill="F1F3F4" w:val="clear"/>
        <w:spacing w:after="40"/>
      </w:pPr>
      <w:r>
        <w:rPr>
          <w:rFonts w:ascii="Consolas" w:cs="Consolas" w:eastAsia="Consolas" w:hAnsi="Consolas"/>
          <w:sz w:val="19"/>
          <w:szCs w:val="19"/>
        </w:rPr>
        <w:t xml:space="preserve">  connectivity_plus: ^6.0.0</w:t>
      </w:r>
    </w:p>
    <w:p>
      <w:pPr>
        <w:shd w:fill="F1F3F4" w:val="clear"/>
        <w:spacing w:after="40"/>
      </w:pPr>
      <w:r>
        <w:rPr>
          <w:rFonts w:ascii="Consolas" w:cs="Consolas" w:eastAsia="Consolas" w:hAnsi="Consolas"/>
          <w:sz w:val="19"/>
          <w:szCs w:val="19"/>
        </w:rPr>
        <w:t xml:space="preserve">  geolocator: ^12.0.0</w:t>
      </w:r>
    </w:p>
    <w:p>
      <w:pPr>
        <w:shd w:fill="F1F3F4" w:val="clear"/>
        <w:spacing w:after="40"/>
      </w:pPr>
      <w:r>
        <w:rPr>
          <w:rFonts w:ascii="Consolas" w:cs="Consolas" w:eastAsia="Consolas" w:hAnsi="Consolas"/>
          <w:sz w:val="19"/>
          <w:szCs w:val="19"/>
        </w:rPr>
        <w:t xml:space="preserve">  fl_chart: ^0.68.0</w:t>
      </w:r>
    </w:p>
    <w:p>
      <w:pPr>
        <w:spacing w:after="120"/>
      </w:pPr>
      <w:r>
        <w:t xml:space="preserve"/>
      </w:r>
    </w:p>
    <w:p>
      <w:pPr>
        <w:spacing w:after="120"/>
      </w:pPr>
      <w:r>
        <w:rPr>
          <w:i/>
          <w:iCs/>
          <w:color w:val="5F6368"/>
          <w:sz w:val="18"/>
          <w:szCs w:val="18"/>
        </w:rPr>
        <w:t xml:space="preserve">Fin del documento.</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2026-09-27T08:52:32.556Z</dcterms:created>
  <dcterms:modified xsi:type="dcterms:W3CDTF">2026-09-27T08:52:32.565Z</dcterms:modified>
</cp:coreProperties>
</file>

<file path=docProps/custom.xml><?xml version="1.0" encoding="utf-8"?>
<Properties xmlns="http://schemas.openxmlformats.org/officeDocument/2006/custom-properties" xmlns:vt="http://schemas.openxmlformats.org/officeDocument/2006/docPropsVTypes"/>
</file>