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5E20"/>
          <w:sz w:val="48"/>
          <w:szCs w:val="48"/>
        </w:rPr>
        <w:t xml:space="preserve">AgroAlerta Andalucía</w:t>
      </w:r>
    </w:p>
    <w:p>
      <w:pPr>
        <w:spacing w:after="40"/>
      </w:pPr>
      <w:r>
        <w:rPr>
          <w:color w:val="5F6368"/>
          <w:sz w:val="26"/>
          <w:szCs w:val="26"/>
        </w:rPr>
        <w:t xml:space="preserve">Master Prompt de Desarrollo — Paquete para IA de código (Copilot / Cursor)</w:t>
      </w:r>
    </w:p>
    <w:p>
      <w:pPr>
        <w:spacing w:after="300"/>
      </w:pPr>
      <w:r>
        <w:rPr>
          <w:i/>
          <w:iCs/>
          <w:color w:val="5F6368"/>
          <w:sz w:val="20"/>
          <w:szCs w:val="20"/>
        </w:rPr>
        <w:t xml:space="preserve">Complementa a "AgroAlerta_Andalucia_Arquitectura_v2.docx". Este documento no repite la arquitectura: la convierte en una secuencia de prompts listos para pegar, en orden, y en contratos de API verificados.</w:t>
      </w:r>
    </w:p>
    <w:p>
      <w:pPr>
        <w:pStyle w:val="Heading1"/>
        <w:spacing w:after="200" w:before="400"/>
      </w:pPr>
      <w:r>
        <w:t xml:space="preserve">0. Cómo usar 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Sigue los pasos EN ORDEN (sección 3). Cada paso es un módulo con dependencias resueltas por los pasos anteriores — generarlos fuera de orden es la causa nº 1 de que una IA de código empiece a "inventar" estructura.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Pega primero el "Prompt de sistema" (sección 1) al abrir el chat de Copilot/Cursor en el repo. Dale contexto persistente una sola vez por sesión larga; si la sesión es muy larga y la IA empieza a desviarse del naming o la estructura, vuelve a pegarlo.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Después, pega los prompts de cada paso de la sección 3 uno a uno, esperando a que termine y revisando el resultado antes de pasar al siguiente.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dejes que la IA decida nombres de fichero, rutas o modelos por su cuenta: todos están fijados en la sección 3 y en el documento de arquitectura. Si la IA propone un nombre distinto, corrígelo pegando de nuevo el nombre exacto.</w:t>
      </w:r>
    </w:p>
    <w:p>
      <w:pPr>
        <w:spacing w:after="140"/>
      </w:pPr>
      <w:r>
        <w:rPr>
          <w:b/>
          <w:bCs/>
          <w:color w:val="8A6D00"/>
          <w:sz w:val="20"/>
          <w:szCs w:val="20"/>
        </w:rPr>
        <w:t xml:space="preserve">⚠ </w:t>
      </w:r>
      <w:r>
        <w:rPr>
          <w:i/>
          <w:iCs/>
          <w:color w:val="8A6D00"/>
          <w:sz w:val="20"/>
          <w:szCs w:val="20"/>
        </w:rPr>
        <w:t xml:space="preserve">Los contratos de API de la sección 4 están verificados a fecha de hoy contra fuentes públicas, salvo dos puntos marcados explícitamente como "verificar en el momento de implementar" (endpoint horario de RIA/IFAPA y mecanismo exacto de descarga masiva del registro MAPA), porque ninguna de las dos fuentes publica una especificación OpenAPI estable. No se ha inventado ningún endpoint: donde no hay certeza, se indica.</w:t>
      </w:r>
    </w:p>
    <w:p>
      <w:pPr>
        <w:pStyle w:val="Heading1"/>
        <w:spacing w:after="200" w:before="400"/>
      </w:pPr>
      <w:r>
        <w:t xml:space="preserve">1. Prompt de sistema (pegar una vez al iniciar la sesión de Copilot/Cursor)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Contexto persistente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Actúa como ingeniero de software senior especializado en Flutter y en backends Python para agricultura de precisión.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Vas a generar el código de "AgroAlerta Andalucía", una app Flutter (Android/iOS/Web) de avisos de riesgo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de enfermedades (repilo en olivar, mildiu en viñedo) para agricultores, con backend FastAPI que agrega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AEMET, RIA/IFAPA y el registro de fitosanitarios del MAPA.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Reglas que NO puedes romper: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Usa EXACTAMENTE los nombres de fichero, carpeta y clase que yo te indique en cada prompt. No renombres,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no reorganices, no "mejores" la estructura por tu cuenta.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Arquitectura feature-first en lib/src/features/&lt;feature&gt;/{presentation,domain,data}. Núcleo compartido en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lib/src/core/.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El cliente Flutter JAMÁS llama directamente a AEMET, RIA/IFAPA, SIGPAC o MAPA. Solo habla con la API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propia (backend FastAPI) vía ApiClient.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Gestión de estado: flutter_riverpod. Navegación: go_router. Persistencia local: Isar.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5. Material 3, soporte claro/oscuro, PageTransitionsTheme del paquete animations, diseño responsivo con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los tres breakpoints definidos en ResponsiveLayoutBuilder.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6. Todo endpoint del backend requiere test unitario antes de darse por cerrado.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7. Si te falta un dato (una URL, una clave, un umbral científico) NO lo inventes: escribe un TODO explícito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con el texto "// TODO(verificar):" y continúa.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Confirma que has entendido estas reglas antes de generar el primer fichero.</w:t>
      </w:r>
    </w:p>
    <w:p>
      <w:pPr>
        <w:pStyle w:val="Heading1"/>
        <w:spacing w:after="200" w:before="400"/>
      </w:pPr>
      <w:r>
        <w:t xml:space="preserve">2. Convenciones de código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Dart: lint con `flutter_lints`; nombres de fichero snake_case, clases PascalCase, providers Riverpod con sufijo Provider (parcelListProvider).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Python: PEP8, formateado con `ruff format`; Pydantic v2 para esquemas de entrada/salida de la API; SQLAlchemy 2.0 estilo declarativo para los modelos de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Commits por módulo (uno por paso de la sección 3), nunca un commit único con todo el proyecto — facilita revertir si una IA se desvía en un paso concreto.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Ningún secreto (API key de AEMET, credenciales de Firebase) se escribe en código fuente: siempre variable de entorno (sección 5).</w:t>
      </w:r>
    </w:p>
    <w:p>
      <w:pPr>
        <w:pStyle w:val="Heading1"/>
        <w:spacing w:after="200" w:before="400"/>
      </w:pPr>
      <w:r>
        <w:t xml:space="preserve">3. Orden de generación por pasos</w:t>
      </w:r>
    </w:p>
    <w:p>
      <w:pPr>
        <w:spacing w:after="120"/>
      </w:pPr>
      <w:r>
        <w:t xml:space="preserve">Cada paso referencia los ficheros exactos definidos en el documento de arquitectura (secciones 5 y 8). Aquí se da el prompt literal a pegar.</w:t>
      </w:r>
    </w:p>
    <w:p>
      <w:pPr>
        <w:pStyle w:val="Heading2"/>
        <w:spacing w:after="150" w:before="300"/>
      </w:pPr>
      <w:r>
        <w:t xml:space="preserve">Paso 1 — Scaffolding y dependencias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1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 un proyecto Flutter nuevo llamado agroalerta_andalucia (org com.agrotech) y genera pubspec.yaml con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exactamente estas dependencias (ver Anexo del documento de arquitectura v2 para versiones):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flutter_riverpod, go_router, dio, isar, isar_flutter_libs, firebase_core, firebase_messaging,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flutter_map, latlong2, animations, flutter_animate, lottie, connectivity_plus, geolocator, fl_chart.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No generes ningún fichero de lib/src/ todavía, solo el scaffolding y pubspec.yaml.</w:t>
      </w:r>
    </w:p>
    <w:p>
      <w:pPr>
        <w:pStyle w:val="Heading2"/>
        <w:spacing w:after="150" w:before="300"/>
      </w:pPr>
      <w:r>
        <w:t xml:space="preserve">Paso 2 — Tema y diseño (Core)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2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lib/src/core/theme/app_colors.dart (class AppColors, primary Color(0xFF2E7D32), y colores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semánticos riskLow/riskMedium/riskHigh), lib/src/core/theme/app_typography.dart (class AppTypography,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escala Material 3) y lib/src/core/theme/app_theme.dart (class AppTheme, ThemeData claro y oscuro,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useMaterial3: true, PageTransitionsTheme con SharedAxisPageTransitionsBuilder para Android/iOS 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FadeThroughPageTransitionsBuilder para el cambio de tabs).</w:t>
      </w:r>
    </w:p>
    <w:p>
      <w:pPr>
        <w:pStyle w:val="Heading2"/>
        <w:spacing w:after="150" w:before="300"/>
      </w:pPr>
      <w:r>
        <w:t xml:space="preserve">Paso 3 — Capa de red (Core)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3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lib/src/core/constants/api_constants.dart (class ApiConstants con baseUrl apuntando a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String.fromEnvironment('API_BASE_URL')), lib/src/core/network/api_exceptions.dart (NetworkException,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ServerException, StaleDataException), lib/src/core/network/api_client.dart (class ApiClient, wrapper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de Dio con interceptor de logging) y lib/src/core/network/offline_cache_interceptor.dart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(OfflineCacheInterceptor: si la petición GET falla por falta de red, busca en Isar la última respuesta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cacheada para esa misma URL y la devuelve marcando un header interno x-stale: true).</w:t>
      </w:r>
    </w:p>
    <w:p>
      <w:pPr>
        <w:pStyle w:val="Heading2"/>
        <w:spacing w:after="150" w:before="300"/>
      </w:pPr>
      <w:r>
        <w:t xml:space="preserve">Paso 4 — Servicios transversales (Core)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4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lib/src/core/services/connectivity_service.dart (ConnectivityService, expone Stream&lt;bool&gt; online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usando connectivity_plus), lib/src/core/services/location_service.dart (LocationService, permisos 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posición actual con geolocator) y lib/src/core/services/notification_service.dart (NotificationService,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registro de token FCM con firebase_messaging y stream de mensajes entrantes).</w:t>
      </w:r>
    </w:p>
    <w:p>
      <w:pPr>
        <w:pStyle w:val="Heading2"/>
        <w:spacing w:after="150" w:before="300"/>
      </w:pPr>
      <w:r>
        <w:t xml:space="preserve">Paso 5 — Widgets compartidos (Core)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5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lib/src/core/widgets/responsive_layout_builder.dart (ResponsiveLayoutBuilder con 3 breakpoints: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compact &lt;600, medium 600-1024, expanded &gt;1024, ver tabla del documento de arquitectura v2 sección 12),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lib/src/core/widgets/adaptive_navigation_scaffold.dart (AdaptiveNavigationScaffold que usa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ResponsiveLayoutBuilder para alternar NavigationBar/NavigationRail), lib/src/core/widgets/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animated_risk_badge.dart (AnimatedRiskBadge con TweenAnimationBuilder), lib/src/core/widgets/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offline_banner.dart (OfflineBanner) y lib/src/core/widgets/loading_shimmer.dart (LoadingShimmer).</w:t>
      </w:r>
    </w:p>
    <w:p>
      <w:pPr>
        <w:pStyle w:val="Heading2"/>
        <w:spacing w:after="150" w:before="300"/>
      </w:pPr>
      <w:r>
        <w:t xml:space="preserve">Paso 6 — Router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6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lib/src/core/router/app_router.dart con GoRouter y exactamente las rutas de la tabla de la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sección 6 del documento de arquitectura v2 (splash, onboarding, login, home, parcels, parcels/new,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parcels/:id, alerts, alerts/:id, products, products/:id, reports/new, settings,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settings/notifications).</w:t>
      </w:r>
    </w:p>
    <w:p>
      <w:pPr>
        <w:pStyle w:val="Heading2"/>
        <w:spacing w:after="150" w:before="300"/>
      </w:pPr>
      <w:r>
        <w:t xml:space="preserve">Paso 7 — Feature auth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7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el feature auth completo: lib/src/features/auth/domain/user_model.dart (UserModel: uid, email,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cultivosInteres, comarca), lib/src/features/auth/data/auth_repository.dart (AuthRepository sobre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Firebase Auth: signInWithGoogle, signInWithApple, signInAnonymously), lib/src/features/auth/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presentation/splash_screen.dart, onboarding_screen.dart (selección de cultivo: olivar/viñedo, 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comarca) y login_screen.dart.</w:t>
      </w:r>
    </w:p>
    <w:p>
      <w:pPr>
        <w:pStyle w:val="Heading2"/>
        <w:spacing w:after="150" w:before="300"/>
      </w:pPr>
      <w:r>
        <w:t xml:space="preserve">Paso 8 — Feature parcels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8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lib/src/features/parcels/domain/parcel_model.dart con el esquema Isar EXACTO de la sección 7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del documento de arquitectura v2 (ParcelModel: serverId, label, latitude, longitude, geojsonRaw,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cropType, comarca, updatedAt). Genera lib/src/features/parcels/data/parcel_repository.dart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(ParcelRepository: create, update, delete, watchAll — CRUD contra ApiClient con caché Isar).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las pantallas parcel_list_screen.dart (lista/cuadrícula según ResponsiveLayoutBuilder),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parcel_form_screen.dart (alta por GPS con LocationService o dibujo manual en flutter_map) 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parcel_detail_screen.dart, más el widget parcel_card.dart.</w:t>
      </w:r>
    </w:p>
    <w:p>
      <w:pPr>
        <w:pStyle w:val="Heading2"/>
        <w:spacing w:after="150" w:before="300"/>
      </w:pPr>
      <w:r>
        <w:t xml:space="preserve">Paso 9 — Feature disease_alerts (núcleo)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9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lib/src/features/disease_alerts/domain/disease_risk_model.dart con el esquema Isar EXACTO de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la sección 7 (DiseaseRiskModel: parcelServerId, diseaseCode, riskScore, riskLevel, recommendationText,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calculatedAt, validUntil, isStale). Genera disease_alerts_repository.dart (consume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GET /api/v1/disease-risk/{parcelId}, contrato en la sección 4.4 de este documento). Genera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alerts_screen.dart, alert_detail_screen.dart y los widgets risk_gauge_widget.dart (medidor circular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animado con TweenAnimationBuilder) y risk_timeline_chart.dart (fl_chart).</w:t>
      </w:r>
    </w:p>
    <w:p>
      <w:pPr>
        <w:pStyle w:val="Heading2"/>
        <w:spacing w:after="150" w:before="300"/>
      </w:pPr>
      <w:r>
        <w:t xml:space="preserve">Paso 10 — Feature phytosanitary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10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lib/src/features/phytosanitary/domain/phyto_product_model.dart, data/phyto_repository.dart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(consume GET /api/v1/products, contrato en la sección 4.5), presentation/product_finder_screen.dart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(filtro por cultivo/plaga) y product_detail_screen.dart (debe incluir de forma visible el aviso legal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definido en la sección 13 del documento de arquitectura v2 y la fecha de la versión del registro MAPA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usada).</w:t>
      </w:r>
    </w:p>
    <w:p>
      <w:pPr>
        <w:pStyle w:val="Heading2"/>
        <w:spacing w:after="150" w:before="300"/>
      </w:pPr>
      <w:r>
        <w:t xml:space="preserve">Paso 11 — Feature field_reports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11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lib/src/features/field_reports/domain/field_report_model.dart, data/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field_reports_repository.dart (cola de envío con Isar si no hay red, sincroniza cuando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ConnectivityService pasa a online) y presentation/report_form_screen.dart (formulario con foto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georreferenciada y selector de tipo: trampa/síntoma).</w:t>
      </w:r>
    </w:p>
    <w:p>
      <w:pPr>
        <w:pStyle w:val="Heading2"/>
        <w:spacing w:after="150" w:before="300"/>
      </w:pPr>
      <w:r>
        <w:t xml:space="preserve">Paso 12 — Feature home y settings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12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lib/src/features/home/presentation/home_screen.dart con weather_summary_card.dart 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active_alerts_carousel.dart (transición Shared Axis entre tarjetas). Genera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lib/src/features/settings/presentation/settings_screen.dart 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notification_preferences_screen.dart (umbral mínimo de severidad y franja horaria).</w:t>
      </w:r>
    </w:p>
    <w:p>
      <w:pPr>
        <w:pStyle w:val="Heading2"/>
        <w:spacing w:after="150" w:before="300"/>
      </w:pPr>
      <w:r>
        <w:t xml:space="preserve">Paso 13 — Backend: scaffolding y base de datos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13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 un proyecto FastAPI en backend/ con backend/app/main.py, backend/app/core/config.py (Settings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con pydantic-settings, lee variables de entorno de la sección 5), backend/app/core/security.py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(verificación de token Firebase), backend/app/db/session.py (engine SQLAlchemy async +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PostgreSQL/PostGIS) y backend/app/db/models.py con las tablas Parcel, DiseaseRiskSnapshot,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PhytoProduct, FieldReport (columnas equivalentes a los modelos Isar del cliente, más created_at/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updated_at).</w:t>
      </w:r>
    </w:p>
    <w:p>
      <w:pPr>
        <w:pStyle w:val="Heading2"/>
        <w:spacing w:after="150" w:before="300"/>
      </w:pPr>
      <w:r>
        <w:t xml:space="preserve">Paso 14 — Backend: conectores a APIs públicas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14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backend/app/connectors/aemet_client.py y backend/app/connectors/ria_ifapa_client.py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implementando EXACTAMENTE los contratos de la sección 4.1 y 4.2 de este documento (incluida la doble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llamada de AEMET). Genera backend/app/connectors/mapa_fitosanitarios_indexer.py como un job de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descarga/parseo periódico (no como cliente REST síncrono, ver sección 4.3) 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backend/app/connectors/eppo_client.py. Cada conector debe implementar un circuit breaker simple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(máximo 3 reintentos con backoff exponencial, después usar el último dato válido en base de datos).</w:t>
      </w:r>
    </w:p>
    <w:p>
      <w:pPr>
        <w:pStyle w:val="Heading2"/>
        <w:spacing w:after="150" w:before="300"/>
      </w:pPr>
      <w:r>
        <w:t xml:space="preserve">Paso 15 — Backend: motor de reglas de riesgo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15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backend/app/domain/disease_rules.py implementando el motor de dos capas de la sección 9 del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documento de arquitectura v2: capa 1 (regla de los 10 mm/10°C/10cm) y capa 2 (modelo de incubación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por horas de humedad/mojado foliar y temperatura, para repilo en olivar y mildiu en viñedo).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La función debe devolver diseaseCode, riskScore (0-1), riskLevel, variables usadas con su fecha, 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un campo confidenceLevel que baje si la estación agroclimática usada está a más de 10 km de la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parcela. Escribe tests con al menos 3 series climáticas de ejemplo por enfermedad antes de dar el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paso por cerrado.</w:t>
      </w:r>
    </w:p>
    <w:p>
      <w:pPr>
        <w:pStyle w:val="Heading2"/>
        <w:spacing w:after="150" w:before="300"/>
      </w:pPr>
      <w:r>
        <w:t xml:space="preserve">Paso 16 — Backend: endpoints REST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16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backend/app/api/v1/endpoints/parcels.py, weather.py, disease_risk.py, phytosanitary.py y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field_reports.py implementando exactamente los contratos de la sección 4.4-4.6 de este documento.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Todos los endpoints de escritura requieren token Firebase válido (core/security.py).</w:t>
      </w:r>
    </w:p>
    <w:p>
      <w:pPr>
        <w:pStyle w:val="Heading2"/>
        <w:spacing w:after="150" w:before="300"/>
      </w:pPr>
      <w:r>
        <w:t xml:space="preserve">Paso 17 — Backend: jobs programados y notificaciones</w:t>
      </w:r>
    </w:p>
    <w:p>
      <w:pPr>
        <w:spacing w:after="80" w:before="160"/>
      </w:pPr>
      <w:r>
        <w:rPr>
          <w:b/>
          <w:bCs/>
          <w:color w:val="1B5E20"/>
          <w:sz w:val="20"/>
          <w:szCs w:val="20"/>
        </w:rPr>
        <w:t xml:space="preserve">PROMPT — Paso 17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Genera backend/app/jobs/weather_ingestion_job.py (Celery beat, horario), backend/app/jobs/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risk_recalculation_job.py (tras cada ingesta, recalcula disease_rules y compara con el último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riskLevel guardado), backend/app/jobs/mapa_indexing_job.py (semanal, viernes tras las 14:00,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alineado con la actualización real del registro MAPA) y backend/app/notifications/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fcm_dispatcher.py (envía push vía Firebase Admin SDK cuando risk_recalculation_job detecta una</w:t>
      </w:r>
    </w:p>
    <w:p>
      <w:pPr>
        <w:shd w:fill="F1F3F4" w:val="clear"/>
        <w:spacing w:after="3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subida de nivel de riesgo).</w:t>
      </w:r>
    </w:p>
    <w:p>
      <w:pPr>
        <w:pStyle w:val="Heading1"/>
        <w:spacing w:after="200" w:before="400"/>
      </w:pPr>
      <w:r>
        <w:t xml:space="preserve">4. Contratos de API verificados</w:t>
      </w:r>
    </w:p>
    <w:p>
      <w:pPr>
        <w:spacing w:after="120"/>
      </w:pPr>
      <w:r>
        <w:t xml:space="preserve">Todos los conectores del backend deben ajustarse EXACTAMENTE a estos contratos. No inventar rutas ni campos que no aparezcan aquí.</w:t>
      </w:r>
    </w:p>
    <w:p>
      <w:pPr>
        <w:pStyle w:val="Heading2"/>
        <w:spacing w:after="150" w:before="300"/>
      </w:pPr>
      <w:r>
        <w:t xml:space="preserve">4.1 AEMET OpenData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Host: https://opendata.aemet.es/opendata/api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Autenticación: header api_key: &lt;API_KEY&gt; (clave gratuita, se solicita en opendata.aemet.es/centrodedescargas/altaUsuario). Límite: 50 peticiones/minuto.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Patrón de doble llamada (obligatorio en todos los endpoints de datos): la 1ª petición devuelve JSON { "descripcion", "estado": 200, "datos": "&lt;url temporal&gt;", "metadatos": "&lt;url&gt;" }; hay que hacer una 2ª petición GET a esa url "datos" para obtener el payload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Endpoints a usar en el MVP: GET /prediccion/especifica/municipio/diaria/{municipio} (predicción diaria: viento, probabilidad de precipitación, temperaturas), GET /observacion/convencional/datos/estacion/{idema} (observación en tiempo real de la estación más próxima), GET /maestro/municipios (listado de municipios con su código, para sincronizar una sola vez y resolver {municipio} a partir de la comarca de la parcela).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 de fecha en endpoints con rango: fechaini/{AAAA-MM-DDTHH:mm:ssUTC}/fechafin/{...}.</w:t>
      </w:r>
    </w:p>
    <w:p>
      <w:pPr>
        <w:pStyle w:val="Heading2"/>
        <w:spacing w:after="150" w:before="300"/>
      </w:pPr>
      <w:r>
        <w:t xml:space="preserve">4.2 RIA / IFAPA (Red de Información Agroclimática de Andalucía)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Host: https://www.juntadeandalucia.es/agriculturaypesca/ifapa/riaws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Autenticación: ninguna (servicio público sin API key).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confirmado — datos diarios agregados por estación: /datosdiarios/{provincia}/{estacion}/{anio}/{mesInicio}/{mesFin}, y su equivalente /datosmensuales/... para agregados mensuales. Devuelve por estación: fecha, temperatura media/máx/mín, humedad relativa media/máx/mín, velocidad y dirección del viento, radiación, precipitación y ET₀ (Penman-Monteith).</w:t>
      </w:r>
    </w:p>
    <w:p>
      <w:pPr>
        <w:spacing w:after="140"/>
      </w:pPr>
      <w:r>
        <w:rPr>
          <w:b/>
          <w:bCs/>
          <w:color w:val="8A6D00"/>
          <w:sz w:val="20"/>
          <w:szCs w:val="20"/>
        </w:rPr>
        <w:t xml:space="preserve">⚠ </w:t>
      </w:r>
      <w:r>
        <w:rPr>
          <w:i/>
          <w:iCs/>
          <w:color w:val="8A6D00"/>
          <w:sz w:val="20"/>
          <w:szCs w:val="20"/>
        </w:rPr>
        <w:t xml:space="preserve">Verificar en el momento de implementar: la resolución horaria (necesaria para el cálculo fino de horas de mojado foliar del motor de riesgo, sección 9) no está confirmada en el mismo servicio riaws de acceso libre — puede requerir el portal RIA-Web (juntadeandalucia.es/agriculturaypesca/ifapa/riaweb) o una solicitud de acceso distinta. Hasta confirmarlo, disease_rules.py debe estimar la duración de mojado foliar (LWD) a partir de los máximos/mínimos diarios de humedad relativa (umbrales HR≥85% y HR≥95%, método de referencia habitual en agrometeorología) en vez de asumir un dato horario que no está garantizado.</w:t>
      </w:r>
    </w:p>
    <w:p>
      <w:pPr>
        <w:pStyle w:val="Heading2"/>
        <w:spacing w:after="150" w:before="300"/>
      </w:pPr>
      <w:r>
        <w:t xml:space="preserve">4.3 Registro Oficial de Productos Fitosanitarios (MAPA)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existe API REST ni GraphQL pública y documentada. El registro se consulta mediante un buscador web, y la base de datos se actualiza semanalmente los viernes a partir de las 14:00.</w:t>
      </w:r>
    </w:p>
    <w:p>
      <w:pPr>
        <w:spacing w:after="140"/>
      </w:pPr>
      <w:r>
        <w:rPr>
          <w:b/>
          <w:bCs/>
          <w:color w:val="8A6D00"/>
          <w:sz w:val="20"/>
          <w:szCs w:val="20"/>
        </w:rPr>
        <w:t xml:space="preserve">⚠ </w:t>
      </w:r>
      <w:r>
        <w:rPr>
          <w:i/>
          <w:iCs/>
          <w:color w:val="8A6D00"/>
          <w:sz w:val="20"/>
          <w:szCs w:val="20"/>
        </w:rPr>
        <w:t xml:space="preserve">Verificar en el momento de implementar: comprobar en https://www.mapa.gob.es (sección Sanidad Vegetal → Productos Fitosanitarios → Registro) si el buscador ofrece una exportación masiva (CSV/Excel) del listado completo; si no la ofrece, mapa_fitosanitarios_indexer.py deberá hacer scraping estructurado del buscador respetando robots.txt y frecuencia de acceso razonable (una vez por semana, después de la actualización de los viernes), nunca peticiones en caliente por cada consulta de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Independientemente del mecanismo de obtención, el resultado se indexa en la tabla PhytoProduct del backend con un campo mapa_snapshot_date que se devuelve siempre al cliente junto con la recomendación, para trazabilidad legal (sección 13 del documento de arquitectura).</w:t>
      </w:r>
    </w:p>
    <w:p>
      <w:pPr>
        <w:pStyle w:val="Heading2"/>
        <w:spacing w:after="150" w:before="300"/>
      </w:pPr>
      <w:r>
        <w:t xml:space="preserve">4.4 API propia — GET /api/v1/disease-risk/{parcel_id}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Respuesta 200: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"parcelId": "string",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"diseaseCode": "repilo" | "mildiu",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"riskScore": 0.0,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"riskLevel": "bajo" | "medio" | "alto",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"confidenceLevel": "alta" | "estimada",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"recommendationText": "string",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"variablesUsed": [{"name": "string", "value": 0.0, "date": "ISO8601"}],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"calculatedAt": "ISO8601",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"validUntil": "ISO8601"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spacing w:after="150" w:before="300"/>
      </w:pPr>
      <w:r>
        <w:t xml:space="preserve">4.5 API propia — GET /api/v1/products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Parámetros query: cropType, diseaseCode (opcionales)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Respuesta 200: array de {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"id": "string", "commercialName": "string", "activeSubstance": "string",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"dose": "string", "safetyPeriodDays": 0,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"cropType": "string", "diseaseCode": "string",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"mapaSnapshotDate": "ISO8601"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spacing w:after="150" w:before="300"/>
      </w:pPr>
      <w:r>
        <w:t xml:space="preserve">4.6 API propia — POST /api/v1/field-reports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Body: { "parcelId", "type": "trampa"|"sintoma", "photoUrl"?, "count"?, "notes"?, "latitude", "longitude", "reportedAt" }</w:t>
      </w:r>
    </w:p>
    <w:p>
      <w:pPr>
        <w:shd w:fill="F1F3F4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Respuesta 201: { "id": "string", "status": "received" }</w:t>
      </w:r>
    </w:p>
    <w:p>
      <w:pPr>
        <w:pStyle w:val="Heading1"/>
        <w:spacing w:after="200" w:before="400"/>
      </w:pPr>
      <w:r>
        <w:t xml:space="preserve">5. Variables de entorno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pct" w:w="24%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pct" w:w="48%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API_BASE_URL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Flutter (--dart-define)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 base de la API propia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AEMET_API_KEY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Clave gratuita de AEMET OpenData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DATABASE_URL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Cadena de conexión PostgreSQL/PostGIS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REDIS_URL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Cola Celery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FIREBASE_SERVICE_ACCOUNT_JSON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Credencial para verificar tokens y enviar FCM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FIREBASE_PROJECT_ID / API_KEY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Flutter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de Firebase Auth/Messaging</w:t>
            </w:r>
          </w:p>
        </w:tc>
      </w:tr>
    </w:tbl>
    <w:p>
      <w:pPr>
        <w:pStyle w:val="Heading1"/>
        <w:spacing w:after="200" w:before="400"/>
      </w:pPr>
      <w:r>
        <w:t xml:space="preserve">6. Checklist de aceptación por paso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paso no se da por cerrado hasta que: (1) compila/pasa lint, (2) tiene al menos un test si es lógica de dominio (especialmente disease_rules.py), (3) usa exactamente los nombres de fichero y clase de este documento, (4) no contiene llamadas directas del cliente a APIs públicas externas.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de pasar al siguiente paso, compara el árbol de ficheros generado con la sección 5/8 del documento de arquitectura v2 — cualquier fichero de más o de menos es una señal de desviación.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F6368"/>
          <w:sz w:val="18"/>
          <w:szCs w:val="18"/>
        </w:rPr>
        <w:t xml:space="preserve">Fin del documento.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2026-09-27T08:59:21.226Z</dcterms:created>
  <dcterms:modified xsi:type="dcterms:W3CDTF">2026-09-27T08:59:21.235Z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