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DBDD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项目名称：</w:t>
      </w:r>
      <w:r>
        <w:rPr>
          <w:rFonts w:hint="default" w:ascii="sans-serif" w:hAnsi="sans-serif" w:eastAsia="sans-serif" w:cs="sans-serif"/>
        </w:rPr>
        <w:t xml:space="preserve"> 能源大数据分析与智慧调度管理平台</w:t>
      </w:r>
    </w:p>
    <w:p w14:paraId="25D0043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项目周期：</w:t>
      </w:r>
      <w:r>
        <w:rPr>
          <w:rFonts w:hint="default" w:ascii="sans-serif" w:hAnsi="sans-serif" w:eastAsia="sans-serif" w:cs="sans-serif"/>
        </w:rPr>
        <w:t xml:space="preserve"> 预估 24 周（6个月）</w:t>
      </w:r>
    </w:p>
    <w:p w14:paraId="501687EC">
      <w:pPr>
        <w:pStyle w:val="4"/>
        <w:keepNext w:val="0"/>
        <w:keepLines w:val="0"/>
        <w:widowControl/>
        <w:suppressLineNumbers w:val="0"/>
      </w:pPr>
      <w:r>
        <w:t>这个项目可以分为四个阶段实施：</w:t>
      </w:r>
    </w:p>
    <w:p w14:paraId="6DB9D9AD">
      <w:pPr>
        <w:pStyle w:val="3"/>
        <w:keepNext w:val="0"/>
        <w:keepLines w:val="0"/>
        <w:widowControl/>
        <w:suppressLineNumbers w:val="0"/>
      </w:pPr>
      <w:r>
        <w:t>第一阶段：数据采集与治理（底层基石）</w:t>
      </w:r>
    </w:p>
    <w:p w14:paraId="1F62385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建立统一的数据中心，解决“数据孤岛”。</w:t>
      </w:r>
    </w:p>
    <w:p w14:paraId="3196E81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324D610E">
      <w:pPr>
        <w:pStyle w:val="4"/>
        <w:keepNext w:val="0"/>
        <w:keepLines w:val="0"/>
        <w:widowControl/>
        <w:suppressLineNumbers w:val="0"/>
        <w:ind w:left="1440"/>
      </w:pPr>
      <w:r>
        <w:t>接入DCS/SIS系统的实时运行数据（测点数据）。</w:t>
      </w:r>
    </w:p>
    <w:p w14:paraId="63536FD3">
      <w:pPr>
        <w:pStyle w:val="4"/>
        <w:keepNext w:val="0"/>
        <w:keepLines w:val="0"/>
        <w:widowControl/>
        <w:suppressLineNumbers w:val="0"/>
        <w:ind w:left="1440"/>
      </w:pPr>
      <w:r>
        <w:t>爬取/购买高精度气象预报数据。</w:t>
      </w:r>
    </w:p>
    <w:p w14:paraId="68B4D680">
      <w:pPr>
        <w:pStyle w:val="4"/>
        <w:keepNext w:val="0"/>
        <w:keepLines w:val="0"/>
        <w:widowControl/>
        <w:suppressLineNumbers w:val="0"/>
        <w:ind w:left="1440"/>
      </w:pPr>
      <w:r>
        <w:t>收集历史调度指令（AGC信号）与执行反馈。</w:t>
      </w:r>
    </w:p>
    <w:p w14:paraId="6EAA2735">
      <w:pPr>
        <w:pStyle w:val="4"/>
        <w:keepNext w:val="0"/>
        <w:keepLines w:val="0"/>
        <w:widowControl/>
        <w:suppressLineNumbers w:val="0"/>
        <w:ind w:left="1440"/>
      </w:pPr>
      <w:r>
        <w:t>数据清洗：处理离群值、缺失值补全、数据对齐（统一采样频率）。</w:t>
      </w:r>
      <w:bookmarkStart w:id="0" w:name="_GoBack"/>
      <w:bookmarkEnd w:id="0"/>
    </w:p>
    <w:p w14:paraId="5360FCBC">
      <w:pPr>
        <w:pStyle w:val="3"/>
        <w:keepNext w:val="0"/>
        <w:keepLines w:val="0"/>
        <w:widowControl/>
        <w:suppressLineNumbers w:val="0"/>
      </w:pPr>
      <w:r>
        <w:t>第二阶段：核心算法研发（大脑构建）</w:t>
      </w:r>
    </w:p>
    <w:p w14:paraId="2944409F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建立高精度的预测模型。</w:t>
      </w:r>
    </w:p>
    <w:p w14:paraId="50F29A4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1C049845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负荷预测模型：</w:t>
      </w:r>
      <w:r>
        <w:t xml:space="preserve"> 采用机器学习（XGBoost/LightGBM）或深度学习（LSTM/Transformer）进行短期和超短期负荷预测。</w:t>
      </w:r>
    </w:p>
    <w:p w14:paraId="08F353F6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AGC响应特性分析：</w:t>
      </w:r>
      <w:r>
        <w:t xml:space="preserve"> 建立机组动态响应模型，分析不同负荷段下的响应迟延和速率。</w:t>
      </w:r>
    </w:p>
    <w:p w14:paraId="5C74248B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关联性分析：</w:t>
      </w:r>
      <w:r>
        <w:t xml:space="preserve"> 使用皮尔逊相关系数或互信息法，识别影响机组效率的关键因子。</w:t>
      </w:r>
    </w:p>
    <w:p w14:paraId="23608436">
      <w:pPr>
        <w:pStyle w:val="3"/>
        <w:keepNext w:val="0"/>
        <w:keepLines w:val="0"/>
        <w:widowControl/>
        <w:suppressLineNumbers w:val="0"/>
      </w:pPr>
      <w:r>
        <w:t>第三阶段：管理平台开发（业务落地）</w:t>
      </w:r>
    </w:p>
    <w:p w14:paraId="64054F0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可视化展示与业务流程集成。</w:t>
      </w:r>
    </w:p>
    <w:p w14:paraId="4F45B72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5BD1AEE9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实时监控大屏：</w:t>
      </w:r>
      <w:r>
        <w:t xml:space="preserve"> 展示负荷曲线、气象预警、AGC执行情况。</w:t>
      </w:r>
    </w:p>
    <w:p w14:paraId="442AB9F4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预警模块：</w:t>
      </w:r>
      <w:r>
        <w:t xml:space="preserve"> 当预测负荷与实际指令偏差较大时，自动报警。</w:t>
      </w:r>
    </w:p>
    <w:p w14:paraId="798BF6BC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辅助调度功能：</w:t>
      </w:r>
      <w:r>
        <w:t xml:space="preserve"> 给运行人员提供“下阶段负荷趋势”及“最优运行参数”建议。</w:t>
      </w:r>
    </w:p>
    <w:p w14:paraId="45A94A69">
      <w:pPr>
        <w:pStyle w:val="3"/>
        <w:keepNext w:val="0"/>
        <w:keepLines w:val="0"/>
        <w:widowControl/>
        <w:suppressLineNumbers w:val="0"/>
      </w:pPr>
      <w:r>
        <w:t>第四阶段：闭环优化与迭代（价值提升）</w:t>
      </w:r>
    </w:p>
    <w:p w14:paraId="16B779F8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持续优化模型，实现经济收益。</w:t>
      </w:r>
    </w:p>
    <w:p w14:paraId="72CEABA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3E90362E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双碳/交易模块：</w:t>
      </w:r>
      <w:r>
        <w:t xml:space="preserve"> 结合预测结果参与电力现货市场交易。</w:t>
      </w:r>
    </w:p>
    <w:p w14:paraId="7B0CC309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模型自演进：</w:t>
      </w:r>
      <w:r>
        <w:t xml:space="preserve"> 引入在线学习机制，让预测模型随季节和机组老化自动修正。</w:t>
      </w:r>
    </w:p>
    <w:p w14:paraId="62F1BD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1" w:line="14" w:lineRule="atLeast"/>
        <w:jc w:val="both"/>
        <w:rPr>
          <w:rFonts w:hint="default" w:ascii="sans-serif" w:hAnsi="sans-serif" w:eastAsia="sans-serif" w:cs="sans-serif"/>
        </w:rPr>
      </w:pPr>
    </w:p>
    <w:p w14:paraId="1B05C1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A00EF"/>
    <w:rsid w:val="7FFA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2026-05-08T07:55:00Z</dcterms:created>
  <dc:creator>WPS_1694091910</dc:creator>
  <cp:lastModifiedBy>WPS_1694091910</cp:lastModifiedBy>
  <dcterms:modified xsi:type="dcterms:W3CDTF">2026-05-08T08:18:16Z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8287E321406C45D09F56374A78A49D70_11</vt:lpwstr>
  </property>
  <property fmtid="{D5CDD505-2E9C-101B-9397-08002B2CF9AE}" pid="4" name="KSOTemplateDocerSaveRecord">
    <vt:lpwstr>eyJoZGlkIjoiNjMzMTc1OGM5YmYzMmZhZGFlMjY0ODk5YTQxNWQyNTgiLCJ1c2VySWQiOiIxNTI5MTU5MTM0In0=</vt:lpwstr>
  </property>
</Properties>
</file>