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eastAsia="微软雅黑" w:hAnsi="Arial"/>
          <w:b/>
          <w:bCs/>
          <w:color w:val="1B3A5C"/>
          <w:spacing w:val="40"/>
          <w:sz w:val="40"/>
          <w:szCs w:val="40"/>
        </w:rPr>
        <w:t xml:space="preserve">刘 丽 姿</w:t>
      </w:r>
    </w:p>
    <w:p>
      <w:pPr>
        <w:spacing w:after="60"/>
      </w:pPr>
      <w:r>
        <w:rPr>
          <w:rFonts w:ascii="Arial" w:eastAsia="微软雅黑" w:hAnsi="Arial"/>
          <w:color w:val="595959"/>
          <w:sz w:val="20"/>
          <w:szCs w:val="20"/>
        </w:rPr>
        <w:t xml:space="preserve">金融产品经理 ｜ 10 年银行从业 · 5 年零售信贷产品设计与场景金融落地</w:t>
      </w:r>
    </w:p>
    <w:p>
      <w:pPr>
        <w:pBdr>
          <w:bottom w:val="single" w:color="1B3A5C" w:sz="8" w:space="8"/>
        </w:pBdr>
        <w:spacing w:after="120"/>
      </w:pPr>
      <w:r>
        <w:rPr>
          <w:rFonts w:ascii="Arial" w:eastAsia="微软雅黑" w:hAnsi="Arial"/>
          <w:color w:val="595959"/>
          <w:sz w:val="18"/>
          <w:szCs w:val="18"/>
        </w:rPr>
        <w:t xml:space="preserve">深圳·南山　|　13760306140　|　334915128@qq.com　|　1990.11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求职意向</w:t>
      </w:r>
    </w:p>
    <w:p>
      <w:pPr>
        <w:spacing w:after="60" w:line="280"/>
      </w:pPr>
      <w:r>
        <w:rPr>
          <w:rFonts w:ascii="Arial" w:eastAsia="微软雅黑" w:hAnsi="Arial"/>
          <w:sz w:val="19"/>
          <w:szCs w:val="19"/>
        </w:rPr>
        <w:t xml:space="preserve">银行金融产品经理 / 金融科技产品经理（场景金融 · 嵌入式金融方向）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个人优势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10 年银行从业、5 年产品岗经验，具备从客户洞察、产品方案设计、风险策略制定到系统上线与迭代优化的端到端全生命周期管理能力。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深耕场景合作与嵌入式金融：主导比亚迪汽车金融、澳康达二手车两个系统直连项目，均为中信银行系统内首家落地的分行，打通银行与合作平台的身份核验（eKYC）、数据互联互通与嵌入式信贷服务。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业绩可量化：车贷业务累计投放超 10 亿元，合作经销商 200+，投放笔数居分行历史第一；比亚迪直连方案被总行采纳并推动全行级直连。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熟悉银行零售存贷汇业务全景与前中后台协作机制，具备跨业务、风险、科技、运营多部门的需求管理与推动落地能力。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核心能力</w:t>
      </w:r>
    </w:p>
    <w:p>
      <w:pPr>
        <w:spacing w:after="60" w:line="280"/>
        <w:ind w:left="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产品设计与交付  </w:t>
      </w:r>
      <w:r>
        <w:rPr>
          <w:rFonts w:ascii="Arial" w:eastAsia="微软雅黑" w:hAnsi="Arial"/>
          <w:sz w:val="19"/>
          <w:szCs w:val="19"/>
        </w:rPr>
        <w:t xml:space="preserve">个人信贷 / 消费金融产品 0→1 方案设计；申请—核验—授信—审批—签约—放款全流程设计；需求评审、研发协作、测试上线与持续迭代。</w:t>
      </w:r>
    </w:p>
    <w:p>
      <w:pPr>
        <w:spacing w:after="60" w:line="280"/>
        <w:ind w:left="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场景与嵌入式金融  </w:t>
      </w:r>
      <w:r>
        <w:rPr>
          <w:rFonts w:ascii="Arial" w:eastAsia="微软雅黑" w:hAnsi="Arial"/>
          <w:sz w:val="19"/>
          <w:szCs w:val="19"/>
        </w:rPr>
        <w:t xml:space="preserve">场景方（主机厂 / 经销商 / 交易平台）合作模式设计；系统直连与接口方案；eKYC 身份核验；数据互联互通；嵌入式信贷服务。</w:t>
      </w:r>
    </w:p>
    <w:p>
      <w:pPr>
        <w:spacing w:after="60" w:line="280"/>
        <w:ind w:left="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风控与策略  </w:t>
      </w:r>
      <w:r>
        <w:rPr>
          <w:rFonts w:ascii="Arial" w:eastAsia="微软雅黑" w:hAnsi="Arial"/>
          <w:sz w:val="19"/>
          <w:szCs w:val="19"/>
        </w:rPr>
        <w:t xml:space="preserve">客户画像体系建设；授信规则与风险准入策略设计；业务增长与资产质量平衡。</w:t>
      </w:r>
    </w:p>
    <w:p>
      <w:pPr>
        <w:spacing w:after="60" w:line="280"/>
        <w:ind w:left="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数据与运营  </w:t>
      </w:r>
      <w:r>
        <w:rPr>
          <w:rFonts w:ascii="Arial" w:eastAsia="微软雅黑" w:hAnsi="Arial"/>
          <w:sz w:val="19"/>
          <w:szCs w:val="19"/>
        </w:rPr>
        <w:t xml:space="preserve">转化漏斗与产品表现分析；申请转化率、审批时效优化；产品上线后评估与生命周期管理。</w:t>
      </w:r>
    </w:p>
    <w:p>
      <w:pPr>
        <w:spacing w:after="60" w:line="280"/>
        <w:ind w:left="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行业洞察  </w:t>
      </w:r>
      <w:r>
        <w:rPr>
          <w:rFonts w:ascii="Arial" w:eastAsia="微软雅黑" w:hAnsi="Arial"/>
          <w:sz w:val="19"/>
          <w:szCs w:val="19"/>
        </w:rPr>
        <w:t xml:space="preserve">银行零售业务模式、汽车金融与消费金融价值链分析；持续跟踪金融科技与财富管理趋势。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工作经历</w:t>
      </w:r>
    </w:p>
    <w:p>
      <w:pPr>
        <w:spacing w:after="40" w:before="60"/>
      </w:pPr>
      <w:r>
        <w:rPr>
          <w:rFonts w:ascii="Arial" w:eastAsia="微软雅黑" w:hAnsi="Arial"/>
          <w:b/>
          <w:bCs/>
          <w:color w:val="000000"/>
          <w:sz w:val="21"/>
          <w:szCs w:val="21"/>
        </w:rPr>
        <w:t xml:space="preserve">中信银行 深圳分行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2015.08 — 2025.08</w:t>
      </w:r>
    </w:p>
    <w:p>
      <w:pPr>
        <w:spacing w:after="40" w:before="6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金融产品经理 ｜ 零售金融产品经营岗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2020.08 — 2025.08</w:t>
      </w:r>
    </w:p>
    <w:p>
      <w:pPr>
        <w:spacing w:after="60"/>
      </w:pPr>
      <w:r>
        <w:rPr>
          <w:rFonts w:ascii="Arial" w:eastAsia="微软雅黑" w:hAnsi="Arial"/>
          <w:color w:val="595959"/>
          <w:sz w:val="19"/>
          <w:szCs w:val="19"/>
        </w:rPr>
        <w:t xml:space="preserve">负责个人信贷及零售金融产品的规划、设计与落地，主导汽车金融场景的线上化与系统直连建设，横向协同业务、风险、科技三方推动产品从 0 到 1 交付。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产品规划与方案设计：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结合客户需求、业务目标与风险要求，输出个人信贷产品定位、业务流程、规则逻辑与需求文档，推动产品持续优化迭代。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线上化全流程设计：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设计线上贷款端到端流程，覆盖客户申请、身份核验（eKYC）、资料采集、授信审批、电子签约、放款及放款后管理，触点覆盖手机银行 APP 与合作方场景入口。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跨部门推动落地：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牵头需求评审、研发排期、测试验收与上线，协调业务、风险管理、科技、运营等多个部门，把控项目节奏与交付质量。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客户画像与审批策略：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参与客户画像体系建设，从信用状况、收入能力、交易行为等维度刻画目标客群，反哺授信审批逻辑与准入规则。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数据驱动优化：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基于运营数据分析产品表现与转化漏斗，持续提升客户体验与审批效率。</w:t>
      </w:r>
    </w:p>
    <w:p>
      <w:pPr>
        <w:spacing w:after="40" w:before="8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核心业绩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车贷业务累计投放超 10 亿元，合作经销商 200+，投放笔数居分行历史第一；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推动比亚迪项目系统直连，为中信银行首家实现直连的分行，并推动总行落地全行级业务直连；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推动澳康达二手车项目直连上线，为首家实现二手车场景直连的分行。</w:t>
      </w:r>
    </w:p>
    <w:p>
      <w:pPr>
        <w:spacing w:after="40" w:before="14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理财客户经理 / 个贷客户经理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2017.01 — 2020.08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服务中高端零售客户，围绕存款、理财、信贷等综合金融需求提供资产配置与融资方案，积累存贷汇全品类业务理解；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负责个人贷款业务拓展与客户经营，熟悉个贷业务全流程及风险识别要点；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一线客户洞察沉淀为后续产品设计的需求来源与判断依据。</w:t>
      </w:r>
    </w:p>
    <w:p>
      <w:pPr>
        <w:spacing w:after="40" w:before="14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大堂经理 ｜ 客户经营与综合营销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2015.08 — 2017.01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负责厅堂客户分流、需求挖掘与营销转化，实现公私联动获客；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重点推动理财产品销售，提升客户资产配置渗透率；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 w:val="false"/>
          <w:bCs w:val="false"/>
          <w:sz w:val="19"/>
          <w:szCs w:val="19"/>
        </w:rPr>
        <w:t xml:space="preserve">统筹厅堂运营与服务管理，带领支行在总行 6S 检查中获得第一名。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重点项目</w:t>
      </w:r>
    </w:p>
    <w:p>
      <w:pPr>
        <w:spacing w:after="40" w:before="60"/>
      </w:pPr>
      <w:r>
        <w:rPr>
          <w:rFonts w:ascii="Arial" w:eastAsia="微软雅黑" w:hAnsi="Arial"/>
          <w:b/>
          <w:bCs/>
          <w:color w:val="000000"/>
          <w:sz w:val="20"/>
          <w:szCs w:val="20"/>
        </w:rPr>
        <w:t xml:space="preserve">项目一：比亚迪汽车贷款审批直连项目（产品负责人）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2021 — 2023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背景：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新能源汽车销售快速增长，购车客户对「当场申贷、快速放款」诉求强烈，而传统车贷依赖线下资料流转，审批链路长、客户体验割裂。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动作：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拆解汽车销售场景下的客户旅程与经销商作业流程，设计购车贷款「申请—核验—审批—签约—放款」全线上流程；定义银行与主机厂系统的接口与数据交互方案，推动双方系统直连；联合风险团队设计客户准入与授信策略；设计异常处理与人工干预节点，保障资金与合规安全；输出业务需求方案并协调研发完成开发、测试与上线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结果：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成为中信银行首家实现比亚迪系统直连的分行，方案后被总行采纳推动全行级直连；实现客户「购车—申贷—放款」一站式衔接，显著缩短审批与放款时效；带动汽车金融场景业务规模快速增长。</w:t>
      </w:r>
    </w:p>
    <w:p>
      <w:pPr>
        <w:spacing w:after="40" w:before="140"/>
      </w:pPr>
      <w:r>
        <w:rPr>
          <w:rFonts w:ascii="Arial" w:eastAsia="微软雅黑" w:hAnsi="Arial"/>
          <w:b/>
          <w:bCs/>
          <w:color w:val="000000"/>
          <w:sz w:val="20"/>
          <w:szCs w:val="20"/>
        </w:rPr>
        <w:t xml:space="preserve">项目二：澳康达二手车金融直连项目（产品负责人）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2023 — 2025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背景：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二手车客户资质分散、车辆估值差异大，新车信贷策略难以直接复用，需要针对性的产品方案与风险策略。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动作：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分析二手车客户特征，从信用状况、收入能力、车辆价值等维度建立客户画像并识别目标客群；设计二手车贷款产品方案，优化申请、审批、授信、放款流程；与风险团队共同制定审批逻辑与差异化准入规则，并推动业务规则转化为系统可执行策略；依据业务数据持续优化客户转化率与审批效率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结果：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首家实现二手车交易平台直连的分行，形成可复制推广至其他二手车商的标准化合作与产品模板。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个人实践与持续学习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数字化产品实践：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主动学习 AI 工具与数字化产品开发方法，独立完成户外运动主题网站的产品规划、体验设计与开发落地，具备与技术团队同频沟通的能力。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投资与行业研究：</w:t>
      </w:r>
      <w:r>
        <w:rPr>
          <w:rFonts w:ascii="Arial" w:eastAsia="微软雅黑" w:hAnsi="Arial"/>
          <w:b w:val="false"/>
          <w:bCs w:val="false"/>
          <w:color w:val="1A1A1A"/>
          <w:sz w:val="19"/>
          <w:szCs w:val="19"/>
        </w:rPr>
        <w:t xml:space="preserve">持续进行股票及基金投资实践，跟踪金融市场变化与投资者行为，保持对财富管理及金融产品趋势的敏感度。</w:t>
      </w:r>
    </w:p>
    <w:p>
      <w:pPr>
        <w:pBdr>
          <w:bottom w:val="single" w:color="BFCBD8" w:sz="4" w:space="4"/>
        </w:pBdr>
        <w:spacing w:after="100" w:before="240"/>
      </w:pPr>
      <w:r>
        <w:rPr>
          <w:rFonts w:ascii="Arial" w:eastAsia="微软雅黑" w:hAnsi="Arial"/>
          <w:b/>
          <w:bCs/>
          <w:color w:val="1B3A5C"/>
          <w:spacing w:val="20"/>
          <w:sz w:val="22"/>
          <w:szCs w:val="22"/>
        </w:rPr>
        <w:t xml:space="preserve">教育背景 &amp; 证书</w:t>
      </w:r>
    </w:p>
    <w:p>
      <w:pPr>
        <w:spacing w:after="40" w:before="60"/>
      </w:pPr>
      <w:r>
        <w:rPr>
          <w:rFonts w:ascii="Arial" w:eastAsia="微软雅黑" w:hAnsi="Arial"/>
          <w:b/>
          <w:bCs/>
          <w:color w:val="000000"/>
          <w:sz w:val="19"/>
          <w:szCs w:val="19"/>
        </w:rPr>
        <w:t xml:space="preserve">北京师范大学珠海分校 ｜ 财务管理 ｜ 全日制本科</w:t>
      </w:r>
      <w:r>
        <w:rPr>
          <w:rFonts w:ascii="Arial" w:eastAsia="微软雅黑" w:hAnsi="Arial"/>
          <w:color w:val="808080"/>
          <w:sz w:val="18"/>
          <w:szCs w:val="18"/>
        </w:rPr>
        <w:ptab w:alignment="right" w:relativeTo="margin" w:leader="none"/>
      </w:r>
      <w:r>
        <w:rPr>
          <w:rFonts w:ascii="Arial" w:eastAsia="微软雅黑" w:hAnsi="Arial"/>
          <w:color w:val="808080"/>
          <w:sz w:val="18"/>
          <w:szCs w:val="18"/>
        </w:rPr>
        <w:t xml:space="preserve">2011 — 2015</w:t>
      </w:r>
    </w:p>
    <w:p>
      <w:pPr>
        <w:spacing w:after="60" w:line="280"/>
        <w:ind w:left="0"/>
      </w:pPr>
      <w:r>
        <w:rPr>
          <w:rFonts w:ascii="Arial" w:eastAsia="微软雅黑" w:hAnsi="Arial"/>
          <w:b/>
          <w:bCs/>
          <w:color w:val="1B3A5C"/>
          <w:sz w:val="19"/>
          <w:szCs w:val="19"/>
        </w:rPr>
        <w:t xml:space="preserve">证书与技能  </w:t>
      </w:r>
      <w:r>
        <w:rPr>
          <w:rFonts w:ascii="Arial" w:eastAsia="微软雅黑" w:hAnsi="Arial"/>
          <w:sz w:val="19"/>
          <w:szCs w:val="19"/>
        </w:rPr>
        <w:t xml:space="preserve">AFP 金融理财师 ｜ 银行业专业人员职业资格 ｜ CET-4 ｜ 原型设计（Axure / 墨刀）· 基础数据分析 · AI 工具应用</w:t>
      </w:r>
    </w:p>
    <w:sectPr>
      <w:pgSz w:w="11906" w:h="16838" w:orient="portrait"/>
      <w:pgMar w:top="907" w:right="1020" w:bottom="793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  <w:rPr>
        <w:color w:val="1B3A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/>
        <w:color w:val="1A1A1A"/>
        <w:sz w:val="19"/>
        <w:szCs w:val="19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2026-07-28T04:32:37.962Z</dcterms:created>
  <dcterms:modified xsi:type="dcterms:W3CDTF">2026-07-28T04:32:37.983Z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