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FB34" w14:textId="1A4AE483" w:rsidR="006B2C69" w:rsidRDefault="001B5E0C" w:rsidP="006B2C69">
      <w:pPr>
        <w:pStyle w:val="a3"/>
      </w:pPr>
      <w:r>
        <w:rPr>
          <w:rFonts w:hint="eastAsia"/>
        </w:rPr>
        <w:t>计算机图形学</w:t>
      </w:r>
      <w:r w:rsidR="006B2C69">
        <w:rPr>
          <w:rFonts w:hint="eastAsia"/>
        </w:rPr>
        <w:t>文献</w:t>
      </w:r>
      <w:r w:rsidR="006B2C69">
        <w:rPr>
          <w:rFonts w:hint="eastAsia"/>
        </w:rPr>
        <w:t>报告</w:t>
      </w:r>
    </w:p>
    <w:p w14:paraId="7209242A" w14:textId="06E69980" w:rsidR="001B5E0C" w:rsidRPr="001B5E0C" w:rsidRDefault="001B5E0C" w:rsidP="001B5E0C">
      <w:pPr>
        <w:jc w:val="center"/>
        <w:rPr>
          <w:rFonts w:hint="eastAsia"/>
        </w:rPr>
      </w:pPr>
      <w:r>
        <w:rPr>
          <w:rFonts w:hint="eastAsia"/>
        </w:rPr>
        <w:t>2</w:t>
      </w:r>
      <w:r>
        <w:t xml:space="preserve">1307347 </w:t>
      </w:r>
      <w:r>
        <w:rPr>
          <w:rFonts w:hint="eastAsia"/>
        </w:rPr>
        <w:t>陈欣宇</w:t>
      </w:r>
    </w:p>
    <w:p w14:paraId="784FC9B7" w14:textId="5BB0C903" w:rsidR="00B61357" w:rsidRPr="006B2C69" w:rsidRDefault="006B2C69" w:rsidP="006B2C69">
      <w:r>
        <w:tab/>
      </w:r>
      <w:r>
        <w:rPr>
          <w:rFonts w:hint="eastAsia"/>
        </w:rPr>
        <w:t>本次报告所读文献为《</w:t>
      </w:r>
      <w:r w:rsidRPr="006B2C69">
        <w:t>CityNeRF: Building NeRF at City Scale</w:t>
      </w:r>
      <w:r>
        <w:rPr>
          <w:rFonts w:hint="eastAsia"/>
        </w:rPr>
        <w:t>》，</w:t>
      </w:r>
      <w:r w:rsidR="00A1404B">
        <w:rPr>
          <w:rFonts w:hint="eastAsia"/>
        </w:rPr>
        <w:t>地图重建是NeRF的重要应用分支，这篇文献是来自上次高成英老师讲座介绍NeRF中的一篇论文，</w:t>
      </w:r>
      <w:r w:rsidR="00031050" w:rsidRPr="006B2C69">
        <w:rPr>
          <w:rFonts w:hint="eastAsia"/>
        </w:rPr>
        <w:t>BungeeNeRF</w:t>
      </w:r>
      <w:r w:rsidR="00A1404B">
        <w:rPr>
          <w:rFonts w:hint="eastAsia"/>
        </w:rPr>
        <w:t>是香港中文大学团队提出的场景还原模型，也称</w:t>
      </w:r>
      <w:r w:rsidR="00031050" w:rsidRPr="006B2C69">
        <w:t>CityNeRF</w:t>
      </w:r>
      <w:r w:rsidR="00A1404B">
        <w:rPr>
          <w:rFonts w:hint="eastAsia"/>
        </w:rPr>
        <w:t>。</w:t>
      </w:r>
      <w:r w:rsidR="00031050">
        <w:rPr>
          <w:rFonts w:hint="eastAsia"/>
        </w:rPr>
        <w:t>NeRF</w:t>
      </w:r>
      <w:r w:rsidR="000C08E2">
        <w:rPr>
          <w:rFonts w:hint="eastAsia"/>
        </w:rPr>
        <w:t>为</w:t>
      </w:r>
      <w:r w:rsidR="000C08E2" w:rsidRPr="00CB4F2F">
        <w:t>基于可微体渲染和神经场三维表征的新视角图像合成方法</w:t>
      </w:r>
      <w:r w:rsidR="000C08E2">
        <w:rPr>
          <w:rFonts w:hint="eastAsia"/>
        </w:rPr>
        <w:t>，这种方法</w:t>
      </w:r>
      <w:r w:rsidR="00031050">
        <w:rPr>
          <w:rFonts w:hint="eastAsia"/>
        </w:rPr>
        <w:t>在三维目标和受控场景下的建模</w:t>
      </w:r>
      <w:r w:rsidR="000C08E2">
        <w:rPr>
          <w:rFonts w:hint="eastAsia"/>
        </w:rPr>
        <w:t>同样具有优越</w:t>
      </w:r>
      <w:r w:rsidR="00031050">
        <w:rPr>
          <w:rFonts w:hint="eastAsia"/>
        </w:rPr>
        <w:t>的性能，</w:t>
      </w:r>
      <w:r w:rsidR="000C08E2">
        <w:rPr>
          <w:rFonts w:hint="eastAsia"/>
        </w:rPr>
        <w:t>应用价值十分广泛，本篇文献介绍的工作首次尝试将NeRF引入了城市规模，为传统卫星级图像实现地图重建，引入更多尺度下的细节渲染，具有很大的实践意义。</w:t>
      </w:r>
    </w:p>
    <w:p w14:paraId="358F7283" w14:textId="75145F1A" w:rsidR="006B2C69" w:rsidRDefault="000C08E2" w:rsidP="006B2C69">
      <w:pPr>
        <w:rPr>
          <w:rFonts w:hint="eastAsia"/>
        </w:rPr>
      </w:pPr>
      <w:r>
        <w:tab/>
      </w:r>
      <w:r>
        <w:rPr>
          <w:rFonts w:hint="eastAsia"/>
        </w:rPr>
        <w:t>首先概括CityNeRF模型需要解决的问题和使用技术，由于捕获城市概况的摄像机到场景的距离很宽，产生了不同细节量级的多尺度图像数据，难以显示建筑复杂的细节变换，这对于普通的NeRF也是一个巨大的难题。对此CityNeRF模型使用的是一种渐进式学习的方案，</w:t>
      </w:r>
      <w:r w:rsidR="00C64C34" w:rsidRPr="00A1404B">
        <w:t>用一个渐进的神经辐射场来表示多种尺度之下的场景</w:t>
      </w:r>
      <w:r w:rsidR="00C64C34">
        <w:rPr>
          <w:rFonts w:hint="eastAsia"/>
        </w:rPr>
        <w:t>，根据尺度渐进划分不同网络层的工作，</w:t>
      </w:r>
      <w:r>
        <w:rPr>
          <w:rFonts w:hint="eastAsia"/>
        </w:rPr>
        <w:t>学习图像不同尺度下的细节。</w:t>
      </w:r>
      <w:r w:rsidR="00C64C34">
        <w:rPr>
          <w:rFonts w:hint="eastAsia"/>
        </w:rPr>
        <w:t>且该方式有效激活了位置编码中的高频通道，打开了更复杂的细节，对于视图急剧变化的城市规模场景，CityNeRF具有优越的适应性。</w:t>
      </w:r>
    </w:p>
    <w:p w14:paraId="1E85E93A" w14:textId="6494EE2E" w:rsidR="00327C3F" w:rsidRDefault="005362EF" w:rsidP="002C0A8F">
      <w:pPr>
        <w:ind w:firstLine="420"/>
        <w:rPr>
          <w:rFonts w:hint="eastAsia"/>
        </w:rPr>
      </w:pPr>
      <w:r>
        <w:rPr>
          <w:rFonts w:hint="eastAsia"/>
        </w:rPr>
        <w:t>普通NeRF</w:t>
      </w:r>
      <w:r w:rsidR="00C64C34">
        <w:rPr>
          <w:rFonts w:hint="eastAsia"/>
        </w:rPr>
        <w:t>使用多层感知机MLP，</w:t>
      </w:r>
      <w:r w:rsidR="000F08C1">
        <w:rPr>
          <w:rFonts w:hint="eastAsia"/>
        </w:rPr>
        <w:t>将</w:t>
      </w:r>
      <w:r w:rsidR="00C64C34">
        <w:rPr>
          <w:rFonts w:hint="eastAsia"/>
        </w:rPr>
        <w:t>体积密度和颜色</w:t>
      </w:r>
      <w:r w:rsidR="000F08C1">
        <w:rPr>
          <w:rFonts w:hint="eastAsia"/>
        </w:rPr>
        <w:t>参数化作为输入坐标的函数，通过发出光线r</w:t>
      </w:r>
      <w:r w:rsidR="000F08C1">
        <w:t>(t)</w:t>
      </w:r>
      <w:r w:rsidR="000F08C1">
        <w:rPr>
          <w:rFonts w:hint="eastAsia"/>
        </w:rPr>
        <w:t>通过像素，对于光线上查询点r</w:t>
      </w:r>
      <w:r w:rsidR="000F08C1">
        <w:t>(t</w:t>
      </w:r>
      <w:r w:rsidR="000F08C1">
        <w:rPr>
          <w:vertAlign w:val="subscript"/>
        </w:rPr>
        <w:t>k</w:t>
      </w:r>
      <w:r w:rsidR="000F08C1">
        <w:t>)</w:t>
      </w:r>
      <w:r w:rsidR="000F08C1">
        <w:rPr>
          <w:rFonts w:hint="eastAsia"/>
        </w:rPr>
        <w:t>，取其傅里叶变换的特征得到位置编码，</w:t>
      </w:r>
      <w:r w:rsidR="00743FED">
        <w:rPr>
          <w:rFonts w:hint="eastAsia"/>
        </w:rPr>
        <w:t>如公式</w:t>
      </w:r>
      <w:r w:rsidR="00743FED">
        <w:rPr>
          <w:rFonts w:ascii="CMR10" w:hAnsi="CMR10"/>
          <w:color w:val="000000"/>
          <w:sz w:val="20"/>
          <w:szCs w:val="20"/>
        </w:rPr>
        <w:t>(</w:t>
      </w:r>
      <w:r w:rsidR="00743FED">
        <w:rPr>
          <w:rFonts w:ascii="CMMI10" w:hAnsi="CMMI10"/>
          <w:i/>
          <w:iCs/>
          <w:color w:val="000000"/>
          <w:sz w:val="20"/>
          <w:szCs w:val="20"/>
        </w:rPr>
        <w:t>τ</w:t>
      </w:r>
      <w:r w:rsidR="00743FED">
        <w:rPr>
          <w:rFonts w:ascii="CMMI7" w:hAnsi="CMMI7"/>
          <w:i/>
          <w:iCs/>
          <w:color w:val="000000"/>
          <w:sz w:val="14"/>
          <w:szCs w:val="14"/>
        </w:rPr>
        <w:t>k</w:t>
      </w:r>
      <w:r w:rsidR="00743FED">
        <w:rPr>
          <w:rFonts w:ascii="CMMI10" w:hAnsi="CMMI10"/>
          <w:i/>
          <w:iCs/>
          <w:color w:val="000000"/>
          <w:sz w:val="20"/>
          <w:szCs w:val="20"/>
        </w:rPr>
        <w:t xml:space="preserve">, </w:t>
      </w:r>
      <w:r w:rsidR="00743FED">
        <w:rPr>
          <w:rFonts w:ascii="CMBX10" w:hAnsi="CMBX10"/>
          <w:b/>
          <w:bCs/>
          <w:color w:val="000000"/>
          <w:sz w:val="20"/>
          <w:szCs w:val="20"/>
        </w:rPr>
        <w:t>c</w:t>
      </w:r>
      <w:r w:rsidR="00743FED">
        <w:rPr>
          <w:rFonts w:ascii="CMMI7" w:hAnsi="CMMI7"/>
          <w:i/>
          <w:iCs/>
          <w:color w:val="000000"/>
          <w:sz w:val="14"/>
          <w:szCs w:val="14"/>
        </w:rPr>
        <w:t>k</w:t>
      </w:r>
      <w:r w:rsidR="00743FED">
        <w:rPr>
          <w:rFonts w:ascii="CMR10" w:hAnsi="CMR10"/>
          <w:color w:val="000000"/>
          <w:sz w:val="20"/>
          <w:szCs w:val="20"/>
        </w:rPr>
        <w:t>) = MLP (</w:t>
      </w:r>
      <w:r w:rsidR="00743FED">
        <w:rPr>
          <w:rFonts w:ascii="CMMI10" w:hAnsi="CMMI10"/>
          <w:i/>
          <w:iCs/>
          <w:color w:val="000000"/>
          <w:sz w:val="20"/>
          <w:szCs w:val="20"/>
        </w:rPr>
        <w:t xml:space="preserve">γ </w:t>
      </w:r>
      <w:r w:rsidR="00743FED">
        <w:rPr>
          <w:rFonts w:ascii="CMR10" w:hAnsi="CMR10"/>
          <w:color w:val="000000"/>
          <w:sz w:val="20"/>
          <w:szCs w:val="20"/>
        </w:rPr>
        <w:t>(</w:t>
      </w:r>
      <w:r w:rsidR="00743FED">
        <w:rPr>
          <w:rFonts w:ascii="CMBX10" w:hAnsi="CMBX10"/>
          <w:b/>
          <w:bCs/>
          <w:color w:val="000000"/>
          <w:sz w:val="20"/>
          <w:szCs w:val="20"/>
        </w:rPr>
        <w:t xml:space="preserve">r </w:t>
      </w:r>
      <w:r w:rsidR="00743FED">
        <w:rPr>
          <w:rFonts w:ascii="CMR10" w:hAnsi="CMR10"/>
          <w:color w:val="000000"/>
          <w:sz w:val="20"/>
          <w:szCs w:val="20"/>
        </w:rPr>
        <w:t>(</w:t>
      </w:r>
      <w:r w:rsidR="00743FED">
        <w:rPr>
          <w:rFonts w:ascii="CMMI10" w:hAnsi="CMMI10"/>
          <w:i/>
          <w:iCs/>
          <w:color w:val="000000"/>
          <w:sz w:val="20"/>
          <w:szCs w:val="20"/>
        </w:rPr>
        <w:t>t</w:t>
      </w:r>
      <w:r w:rsidR="00743FED">
        <w:rPr>
          <w:rFonts w:ascii="CMMI7" w:hAnsi="CMMI7"/>
          <w:i/>
          <w:iCs/>
          <w:color w:val="000000"/>
          <w:sz w:val="14"/>
          <w:szCs w:val="14"/>
        </w:rPr>
        <w:t>k</w:t>
      </w:r>
      <w:r w:rsidR="00743FED">
        <w:rPr>
          <w:rFonts w:ascii="CMR10" w:hAnsi="CMR10"/>
          <w:color w:val="000000"/>
          <w:sz w:val="20"/>
          <w:szCs w:val="20"/>
        </w:rPr>
        <w:t>)))</w:t>
      </w:r>
      <w:r w:rsidR="00743FED">
        <w:rPr>
          <w:rFonts w:hint="eastAsia"/>
        </w:rPr>
        <w:t>最后输出体积密度和颜色</w:t>
      </w:r>
      <w:r w:rsidR="00743FED">
        <w:rPr>
          <w:rFonts w:hint="eastAsia"/>
        </w:rPr>
        <w:t>。</w:t>
      </w:r>
      <w:r w:rsidR="00743FED">
        <w:rPr>
          <w:rFonts w:hint="eastAsia"/>
        </w:rPr>
        <w:t>位置编码</w:t>
      </w:r>
      <w:r w:rsidR="00743FED">
        <w:rPr>
          <w:rFonts w:ascii="CMMI10" w:hAnsi="CMMI10"/>
          <w:i/>
          <w:iCs/>
          <w:color w:val="000000"/>
          <w:sz w:val="17"/>
          <w:szCs w:val="17"/>
        </w:rPr>
        <w:t>γ</w:t>
      </w:r>
      <w:r w:rsidR="00743FED">
        <w:rPr>
          <w:rFonts w:ascii="CMR10" w:hAnsi="CMR10"/>
          <w:color w:val="000000"/>
          <w:sz w:val="17"/>
          <w:szCs w:val="17"/>
        </w:rPr>
        <w:t>(</w:t>
      </w:r>
      <w:r w:rsidR="00743FED">
        <w:rPr>
          <w:rFonts w:ascii="CMBX10" w:hAnsi="CMBX10"/>
          <w:b/>
          <w:bCs/>
          <w:color w:val="000000"/>
          <w:sz w:val="17"/>
          <w:szCs w:val="17"/>
        </w:rPr>
        <w:t>x</w:t>
      </w:r>
      <w:r w:rsidR="00743FED">
        <w:rPr>
          <w:rFonts w:ascii="CMR10" w:hAnsi="CMR10"/>
          <w:color w:val="000000"/>
          <w:sz w:val="17"/>
          <w:szCs w:val="17"/>
        </w:rPr>
        <w:t>) =</w:t>
      </w:r>
      <w:r w:rsidR="00743FED">
        <w:rPr>
          <w:rFonts w:ascii="CMR10" w:hAnsi="CMR10"/>
          <w:color w:val="000000"/>
          <w:sz w:val="17"/>
          <w:szCs w:val="17"/>
        </w:rPr>
        <w:t xml:space="preserve"> [</w:t>
      </w:r>
      <w:r w:rsidR="00743FED">
        <w:rPr>
          <w:rFonts w:ascii="CMR10" w:hAnsi="CMR10"/>
          <w:color w:val="000000"/>
          <w:sz w:val="17"/>
          <w:szCs w:val="17"/>
        </w:rPr>
        <w:t>sin(2</w:t>
      </w:r>
      <w:r w:rsidR="00743FED">
        <w:rPr>
          <w:rFonts w:ascii="CMR10" w:hAnsi="CMR10"/>
          <w:color w:val="000000"/>
          <w:sz w:val="17"/>
          <w:szCs w:val="17"/>
          <w:vertAlign w:val="superscript"/>
        </w:rPr>
        <w:t>0</w:t>
      </w:r>
      <w:r w:rsidR="00743FED">
        <w:rPr>
          <w:rFonts w:ascii="CMBX10" w:hAnsi="CMBX10"/>
          <w:b/>
          <w:bCs/>
          <w:color w:val="000000"/>
          <w:sz w:val="17"/>
          <w:szCs w:val="17"/>
        </w:rPr>
        <w:t>x</w:t>
      </w:r>
      <w:r w:rsidR="00743FED">
        <w:rPr>
          <w:rFonts w:ascii="CMR10" w:hAnsi="CMR10"/>
          <w:color w:val="000000"/>
          <w:sz w:val="17"/>
          <w:szCs w:val="17"/>
        </w:rPr>
        <w:t>)</w:t>
      </w:r>
      <w:r w:rsidR="00743FED">
        <w:rPr>
          <w:rFonts w:ascii="CMMI10" w:hAnsi="CMMI10"/>
          <w:i/>
          <w:iCs/>
          <w:color w:val="000000"/>
          <w:sz w:val="17"/>
          <w:szCs w:val="17"/>
        </w:rPr>
        <w:t xml:space="preserve">, </w:t>
      </w:r>
      <w:r w:rsidR="00743FED">
        <w:rPr>
          <w:rFonts w:ascii="CMR10" w:hAnsi="CMR10"/>
          <w:color w:val="000000"/>
          <w:sz w:val="17"/>
          <w:szCs w:val="17"/>
        </w:rPr>
        <w:t>cos(2</w:t>
      </w:r>
      <w:r w:rsidR="00743FED">
        <w:rPr>
          <w:rFonts w:ascii="CMR10" w:hAnsi="CMR10"/>
          <w:color w:val="000000"/>
          <w:sz w:val="17"/>
          <w:szCs w:val="17"/>
          <w:vertAlign w:val="superscript"/>
        </w:rPr>
        <w:t>0</w:t>
      </w:r>
      <w:r w:rsidR="00743FED">
        <w:rPr>
          <w:rFonts w:ascii="CMBX10" w:hAnsi="CMBX10"/>
          <w:b/>
          <w:bCs/>
          <w:color w:val="000000"/>
          <w:sz w:val="17"/>
          <w:szCs w:val="17"/>
        </w:rPr>
        <w:t>x</w:t>
      </w:r>
      <w:r w:rsidR="00743FED">
        <w:rPr>
          <w:rFonts w:ascii="CMR10" w:hAnsi="CMR10"/>
          <w:color w:val="000000"/>
          <w:sz w:val="17"/>
          <w:szCs w:val="17"/>
        </w:rPr>
        <w:t>)</w:t>
      </w:r>
      <w:r w:rsidR="00743FED">
        <w:rPr>
          <w:rFonts w:ascii="CMMI10" w:hAnsi="CMMI10"/>
          <w:i/>
          <w:iCs/>
          <w:color w:val="000000"/>
          <w:sz w:val="17"/>
          <w:szCs w:val="17"/>
        </w:rPr>
        <w:t>, . . . ,</w:t>
      </w:r>
      <w:r w:rsidR="00743FED">
        <w:rPr>
          <w:rFonts w:ascii="CMR10" w:hAnsi="CMR10"/>
          <w:color w:val="000000"/>
          <w:sz w:val="17"/>
          <w:szCs w:val="17"/>
        </w:rPr>
        <w:t>sin(2</w:t>
      </w:r>
      <w:r w:rsidR="00743FED" w:rsidRPr="00743FED">
        <w:rPr>
          <w:rFonts w:ascii="CMMI7" w:hAnsi="CMMI7"/>
          <w:i/>
          <w:iCs/>
          <w:color w:val="000000"/>
          <w:sz w:val="12"/>
          <w:szCs w:val="12"/>
          <w:vertAlign w:val="superscript"/>
        </w:rPr>
        <w:t xml:space="preserve"> </w:t>
      </w:r>
      <w:r w:rsidR="00743FED" w:rsidRPr="00743FED">
        <w:rPr>
          <w:rFonts w:ascii="CMMI7" w:hAnsi="CMMI7"/>
          <w:i/>
          <w:iCs/>
          <w:color w:val="000000"/>
          <w:sz w:val="12"/>
          <w:szCs w:val="12"/>
          <w:vertAlign w:val="superscript"/>
        </w:rPr>
        <w:t>M</w:t>
      </w:r>
      <w:r w:rsidR="00743FED" w:rsidRPr="00743FED">
        <w:rPr>
          <w:rFonts w:ascii="CMSY7" w:hAnsi="CMSY7"/>
          <w:i/>
          <w:iCs/>
          <w:color w:val="000000"/>
          <w:sz w:val="12"/>
          <w:szCs w:val="12"/>
          <w:vertAlign w:val="superscript"/>
        </w:rPr>
        <w:t>−</w:t>
      </w:r>
      <w:r w:rsidR="00743FED" w:rsidRPr="00743FED">
        <w:rPr>
          <w:rFonts w:ascii="CMR7" w:hAnsi="CMR7"/>
          <w:color w:val="000000"/>
          <w:sz w:val="12"/>
          <w:szCs w:val="12"/>
          <w:vertAlign w:val="superscript"/>
        </w:rPr>
        <w:t>1</w:t>
      </w:r>
      <w:r w:rsidR="00743FED">
        <w:rPr>
          <w:rFonts w:ascii="CMBX10" w:hAnsi="CMBX10"/>
          <w:b/>
          <w:bCs/>
          <w:color w:val="000000"/>
          <w:sz w:val="17"/>
          <w:szCs w:val="17"/>
        </w:rPr>
        <w:t>x</w:t>
      </w:r>
      <w:r w:rsidR="00743FED">
        <w:rPr>
          <w:rFonts w:ascii="CMR10" w:hAnsi="CMR10"/>
          <w:color w:val="000000"/>
          <w:sz w:val="17"/>
          <w:szCs w:val="17"/>
        </w:rPr>
        <w:t>)</w:t>
      </w:r>
      <w:r w:rsidR="00743FED">
        <w:rPr>
          <w:rFonts w:ascii="CMBX10" w:hAnsi="CMBX10"/>
          <w:b/>
          <w:bCs/>
          <w:color w:val="000000"/>
          <w:sz w:val="17"/>
          <w:szCs w:val="17"/>
        </w:rPr>
        <w:t xml:space="preserve"> </w:t>
      </w:r>
      <w:r w:rsidR="00743FED">
        <w:rPr>
          <w:rFonts w:ascii="CMMI10" w:hAnsi="CMMI10"/>
          <w:i/>
          <w:iCs/>
          <w:color w:val="000000"/>
          <w:sz w:val="17"/>
          <w:szCs w:val="17"/>
        </w:rPr>
        <w:t xml:space="preserve">, </w:t>
      </w:r>
      <w:r w:rsidR="00743FED">
        <w:rPr>
          <w:rFonts w:ascii="CMR10" w:hAnsi="CMR10"/>
          <w:color w:val="000000"/>
          <w:sz w:val="17"/>
          <w:szCs w:val="17"/>
        </w:rPr>
        <w:t>cos(2</w:t>
      </w:r>
      <w:r w:rsidR="00743FED" w:rsidRPr="00743FED">
        <w:rPr>
          <w:rFonts w:ascii="CMMI7" w:hAnsi="CMMI7"/>
          <w:i/>
          <w:iCs/>
          <w:color w:val="000000"/>
          <w:sz w:val="12"/>
          <w:szCs w:val="12"/>
          <w:vertAlign w:val="superscript"/>
        </w:rPr>
        <w:t>M</w:t>
      </w:r>
      <w:r w:rsidR="00743FED" w:rsidRPr="00743FED">
        <w:rPr>
          <w:rFonts w:ascii="CMSY7" w:hAnsi="CMSY7"/>
          <w:i/>
          <w:iCs/>
          <w:color w:val="000000"/>
          <w:sz w:val="12"/>
          <w:szCs w:val="12"/>
          <w:vertAlign w:val="superscript"/>
        </w:rPr>
        <w:t>−</w:t>
      </w:r>
      <w:r w:rsidR="00743FED" w:rsidRPr="00743FED">
        <w:rPr>
          <w:rFonts w:ascii="CMR7" w:hAnsi="CMR7"/>
          <w:color w:val="000000"/>
          <w:sz w:val="12"/>
          <w:szCs w:val="12"/>
          <w:vertAlign w:val="superscript"/>
        </w:rPr>
        <w:t>1</w:t>
      </w:r>
      <w:r w:rsidR="00743FED">
        <w:rPr>
          <w:rFonts w:ascii="CMBX10" w:hAnsi="CMBX10"/>
          <w:b/>
          <w:bCs/>
          <w:color w:val="000000"/>
          <w:sz w:val="17"/>
          <w:szCs w:val="17"/>
        </w:rPr>
        <w:t>x</w:t>
      </w:r>
      <w:r w:rsidR="00743FED">
        <w:rPr>
          <w:rFonts w:ascii="CMR10" w:hAnsi="CMR10"/>
          <w:color w:val="000000"/>
          <w:sz w:val="17"/>
          <w:szCs w:val="17"/>
        </w:rPr>
        <w:t>)</w:t>
      </w:r>
      <w:r w:rsidR="00743FED">
        <w:rPr>
          <w:rFonts w:ascii="CMR10" w:hAnsi="CMR10"/>
          <w:color w:val="000000"/>
          <w:sz w:val="17"/>
          <w:szCs w:val="17"/>
        </w:rPr>
        <w:t>]</w:t>
      </w:r>
      <w:r w:rsidR="00743FED">
        <w:rPr>
          <w:rFonts w:ascii="CMR10" w:hAnsi="CMR10"/>
          <w:color w:val="000000"/>
          <w:sz w:val="17"/>
          <w:szCs w:val="17"/>
          <w:vertAlign w:val="superscript"/>
        </w:rPr>
        <w:t>T</w:t>
      </w:r>
      <w:r w:rsidR="000F08C1">
        <w:rPr>
          <w:rFonts w:hint="eastAsia"/>
        </w:rPr>
        <w:t>通过三维空间内位置的正弦和余弦组合映射到预定频率级</w:t>
      </w:r>
      <w:r w:rsidR="00743FED">
        <w:rPr>
          <w:rFonts w:hint="eastAsia"/>
        </w:rPr>
        <w:t>M</w:t>
      </w:r>
      <w:r w:rsidR="000F08C1">
        <w:rPr>
          <w:rFonts w:hint="eastAsia"/>
        </w:rPr>
        <w:t>实现</w:t>
      </w:r>
      <w:r>
        <w:rPr>
          <w:rFonts w:hint="eastAsia"/>
        </w:rPr>
        <w:t>，根据经典体绘制方法进行优化，将估计的体积密度和颜色进行数值正交，得到近似体绘制积分</w:t>
      </w:r>
      <w:r>
        <w:rPr>
          <w:rFonts w:ascii="CMBX10" w:hAnsi="CMBX10"/>
          <w:b/>
          <w:bCs/>
          <w:color w:val="000000"/>
          <w:sz w:val="20"/>
          <w:szCs w:val="20"/>
        </w:rPr>
        <w:t>C</w:t>
      </w:r>
      <w:r>
        <w:rPr>
          <w:rFonts w:ascii="CMR10" w:hAnsi="CMR10"/>
          <w:color w:val="000000"/>
          <w:sz w:val="20"/>
          <w:szCs w:val="20"/>
        </w:rPr>
        <w:t>(</w:t>
      </w:r>
      <w:r>
        <w:rPr>
          <w:rFonts w:ascii="CMBX10" w:hAnsi="CMBX10"/>
          <w:b/>
          <w:bCs/>
          <w:color w:val="000000"/>
          <w:sz w:val="20"/>
          <w:szCs w:val="20"/>
        </w:rPr>
        <w:t>r</w:t>
      </w:r>
      <w:r>
        <w:rPr>
          <w:rFonts w:ascii="CMR10" w:hAnsi="CMR10"/>
          <w:color w:val="000000"/>
          <w:sz w:val="20"/>
          <w:szCs w:val="20"/>
        </w:rPr>
        <w:t xml:space="preserve">; </w:t>
      </w:r>
      <w:r>
        <w:rPr>
          <w:rFonts w:ascii="CMBX10" w:hAnsi="CMBX10"/>
          <w:b/>
          <w:bCs/>
          <w:color w:val="000000"/>
          <w:sz w:val="20"/>
          <w:szCs w:val="20"/>
        </w:rPr>
        <w:t>t</w:t>
      </w:r>
      <w:r>
        <w:rPr>
          <w:rFonts w:ascii="CMR10" w:hAnsi="CMR10"/>
          <w:color w:val="000000"/>
          <w:sz w:val="20"/>
          <w:szCs w:val="20"/>
        </w:rPr>
        <w:t>)</w:t>
      </w:r>
      <w:r>
        <w:rPr>
          <w:rFonts w:hint="eastAsia"/>
        </w:rPr>
        <w:t>，最后根据</w:t>
      </w:r>
      <w:r>
        <w:rPr>
          <w:rFonts w:ascii="CMBX10" w:hAnsi="CMBX10"/>
          <w:b/>
          <w:bCs/>
          <w:color w:val="000000"/>
          <w:sz w:val="20"/>
          <w:szCs w:val="20"/>
        </w:rPr>
        <w:t>C</w:t>
      </w:r>
      <w:r>
        <w:rPr>
          <w:rFonts w:ascii="CMR10" w:hAnsi="CMR10"/>
          <w:color w:val="000000"/>
          <w:sz w:val="20"/>
          <w:szCs w:val="20"/>
        </w:rPr>
        <w:t>(</w:t>
      </w:r>
      <w:r>
        <w:rPr>
          <w:rFonts w:ascii="CMBX10" w:hAnsi="CMBX10"/>
          <w:b/>
          <w:bCs/>
          <w:color w:val="000000"/>
          <w:sz w:val="20"/>
          <w:szCs w:val="20"/>
        </w:rPr>
        <w:t>r</w:t>
      </w:r>
      <w:r>
        <w:rPr>
          <w:rFonts w:ascii="CMR10" w:hAnsi="CMR10"/>
          <w:color w:val="000000"/>
          <w:sz w:val="20"/>
          <w:szCs w:val="20"/>
        </w:rPr>
        <w:t xml:space="preserve">; </w:t>
      </w:r>
      <w:r>
        <w:rPr>
          <w:rFonts w:ascii="CMBX10" w:hAnsi="CMBX10"/>
          <w:b/>
          <w:bCs/>
          <w:color w:val="000000"/>
          <w:sz w:val="20"/>
          <w:szCs w:val="20"/>
        </w:rPr>
        <w:t>t</w:t>
      </w:r>
      <w:r>
        <w:rPr>
          <w:rFonts w:ascii="CMR10" w:hAnsi="CMR10"/>
          <w:color w:val="000000"/>
          <w:sz w:val="20"/>
          <w:szCs w:val="20"/>
        </w:rPr>
        <w:t>)</w:t>
      </w:r>
      <w:r>
        <w:rPr>
          <w:rFonts w:hint="eastAsia"/>
        </w:rPr>
        <w:t>计算损失函数。这种方法会导致一些问题，如果不同距离下的建筑一起训练，会导致近景的纹理模糊，远景的细节不完整，若不同尺度下场景单独训练又会导致连续的尺度变换之间渲染质量不一致，导致几何和纹理突兀。</w:t>
      </w:r>
      <w:r w:rsidR="002C0A8F">
        <w:rPr>
          <w:rFonts w:hint="eastAsia"/>
        </w:rPr>
        <w:t>City</w:t>
      </w:r>
      <w:r w:rsidR="002C0A8F">
        <w:t>NeRF</w:t>
      </w:r>
      <w:r w:rsidR="002C0A8F">
        <w:rPr>
          <w:rFonts w:hint="eastAsia"/>
        </w:rPr>
        <w:t>的优势还体现在激活了位置编码在较深区域的高频通道，对于近距离视图，需要高频傅里叶特征来恢复细节，但这点对于远程视图来讲是不必需的，普通NeRF不能很好地解决不同尺度下傅里叶特征频率通道不同的问题。</w:t>
      </w:r>
    </w:p>
    <w:p w14:paraId="4D2F6BC5" w14:textId="5E6A7BA1" w:rsidR="00327C3F" w:rsidRDefault="002C0A8F" w:rsidP="001B5E0C">
      <w:pPr>
        <w:ind w:firstLine="420"/>
        <w:rPr>
          <w:rFonts w:hint="eastAsia"/>
        </w:rPr>
      </w:pPr>
      <w:r w:rsidRPr="002C0A8F">
        <w:rPr>
          <w:rFonts w:hint="eastAsia"/>
        </w:rPr>
        <w:t>CityNeRF使用多层监督的渐进式学习结构</w:t>
      </w:r>
      <w:r>
        <w:rPr>
          <w:rFonts w:hint="eastAsia"/>
        </w:rPr>
        <w:t>，将训练划分为多个阶段，</w:t>
      </w:r>
      <w:r>
        <w:rPr>
          <w:rFonts w:hint="eastAsia"/>
        </w:rPr>
        <w:t>预设训练阶段的总数（Lmax）</w:t>
      </w:r>
      <w:r>
        <w:rPr>
          <w:rFonts w:hint="eastAsia"/>
        </w:rPr>
        <w:t>，</w:t>
      </w:r>
      <w:r w:rsidRPr="002C0A8F">
        <w:t>该总数也代表摄像机和场景之间距离离散后的段数</w:t>
      </w:r>
      <w:r>
        <w:rPr>
          <w:rFonts w:hint="eastAsia"/>
        </w:rPr>
        <w:t>，每个阶段模型都同训练集同步增长，离散尺度的增加使用</w:t>
      </w:r>
      <w:r w:rsidR="00327C3F" w:rsidRPr="002C0A8F">
        <w:rPr>
          <w:rFonts w:hint="eastAsia"/>
        </w:rPr>
        <w:t>残差块结构</w:t>
      </w:r>
      <w:r w:rsidR="00327C3F">
        <w:rPr>
          <w:rFonts w:hint="eastAsia"/>
        </w:rPr>
        <w:t>，</w:t>
      </w:r>
      <w:r>
        <w:rPr>
          <w:rFonts w:hint="eastAsia"/>
        </w:rPr>
        <w:t>将新的residual</w:t>
      </w:r>
      <w:r>
        <w:t xml:space="preserve"> blocks</w:t>
      </w:r>
      <w:r>
        <w:rPr>
          <w:rFonts w:hint="eastAsia"/>
        </w:rPr>
        <w:t>附加到网络中，</w:t>
      </w:r>
      <w:r w:rsidR="001B5E0C">
        <w:rPr>
          <w:rFonts w:hint="eastAsia"/>
        </w:rPr>
        <w:t>访问地址编码的高频通道，</w:t>
      </w:r>
      <w:r>
        <w:rPr>
          <w:rFonts w:hint="eastAsia"/>
        </w:rPr>
        <w:t>以适应</w:t>
      </w:r>
      <w:r>
        <w:rPr>
          <w:rFonts w:hint="eastAsia"/>
        </w:rPr>
        <w:t>更近视图中出现的细节</w:t>
      </w:r>
      <w:r>
        <w:rPr>
          <w:rFonts w:hint="eastAsia"/>
        </w:rPr>
        <w:t>，</w:t>
      </w:r>
      <w:r>
        <w:rPr>
          <w:rFonts w:hint="eastAsia"/>
        </w:rPr>
        <w:t>残差块的输出头用来预测连续阶段间颜色和密度的残差，能够在距离变近时捕获场景新出现的细节</w:t>
      </w:r>
      <w:r>
        <w:rPr>
          <w:rFonts w:hint="eastAsia"/>
        </w:rPr>
        <w:t>。通过多层监督方式，</w:t>
      </w:r>
      <w:r>
        <w:rPr>
          <w:rFonts w:hint="eastAsia"/>
        </w:rPr>
        <w:t>在每个训练阶段，</w:t>
      </w:r>
      <w:r w:rsidR="001B5E0C">
        <w:rPr>
          <w:rFonts w:hint="eastAsia"/>
        </w:rPr>
        <w:t>使用</w:t>
      </w:r>
      <w:r w:rsidR="001B5E0C">
        <w:rPr>
          <w:rFonts w:hint="eastAsia"/>
        </w:rPr>
        <w:t>前面阶段更大尺度图像</w:t>
      </w:r>
      <w:r w:rsidR="001B5E0C">
        <w:rPr>
          <w:rFonts w:hint="eastAsia"/>
        </w:rPr>
        <w:t>，即最远尺度到当前尺度的样本合并集，</w:t>
      </w:r>
      <w:r w:rsidR="001B5E0C">
        <w:rPr>
          <w:rFonts w:hint="eastAsia"/>
        </w:rPr>
        <w:t>联合监督</w:t>
      </w:r>
      <w:r w:rsidR="001B5E0C">
        <w:rPr>
          <w:rFonts w:hint="eastAsia"/>
        </w:rPr>
        <w:t>当前阶段</w:t>
      </w:r>
      <w:r>
        <w:rPr>
          <w:rFonts w:hint="eastAsia"/>
        </w:rPr>
        <w:t>残差块的输出头</w:t>
      </w:r>
      <w:r w:rsidR="001B5E0C">
        <w:rPr>
          <w:rFonts w:hint="eastAsia"/>
        </w:rPr>
        <w:t>，当前头计算的损失是由所有已训练阶段的输出头聚合而成的，</w:t>
      </w:r>
      <w:r>
        <w:rPr>
          <w:rFonts w:hint="eastAsia"/>
        </w:rPr>
        <w:t>以保持所有尺度下图像渲染质量一致</w:t>
      </w:r>
      <w:r w:rsidR="001B5E0C">
        <w:rPr>
          <w:rFonts w:hint="eastAsia"/>
        </w:rPr>
        <w:t>，避免不同尺度训练下细节的不一致问题</w:t>
      </w:r>
      <w:r>
        <w:rPr>
          <w:rFonts w:hint="eastAsia"/>
        </w:rPr>
        <w:t>。</w:t>
      </w:r>
      <w:r w:rsidR="001B5E0C">
        <w:rPr>
          <w:rFonts w:hint="eastAsia"/>
        </w:rPr>
        <w:t>同时也将这一阶段的损失回馈到</w:t>
      </w:r>
      <w:r w:rsidR="001B5E0C">
        <w:rPr>
          <w:rFonts w:hint="eastAsia"/>
        </w:rPr>
        <w:t>较大</w:t>
      </w:r>
      <w:r w:rsidR="001B5E0C">
        <w:rPr>
          <w:rFonts w:hint="eastAsia"/>
        </w:rPr>
        <w:t>尺度的输出头上，为前一阶段的输出添加更多的复杂纹理细节</w:t>
      </w:r>
      <w:r w:rsidR="001B5E0C">
        <w:rPr>
          <w:rFonts w:hint="eastAsia"/>
        </w:rPr>
        <w:t>。</w:t>
      </w:r>
      <w:r w:rsidR="001B5E0C">
        <w:rPr>
          <w:rFonts w:hint="eastAsia"/>
        </w:rPr>
        <w:t>这种结构的监督也使得更深层次的输出头也保持了细节的复杂性，保证了尺度变化下的渲染视图质量</w:t>
      </w:r>
      <w:r w:rsidR="001B5E0C">
        <w:rPr>
          <w:rFonts w:hint="eastAsia"/>
        </w:rPr>
        <w:t>，</w:t>
      </w:r>
      <w:r w:rsidR="00327C3F">
        <w:rPr>
          <w:rFonts w:hint="eastAsia"/>
        </w:rPr>
        <w:t>解决大尺度下出现伪影的问题</w:t>
      </w:r>
      <w:r w:rsidR="001B5E0C">
        <w:rPr>
          <w:rFonts w:hint="eastAsia"/>
        </w:rPr>
        <w:t>。</w:t>
      </w:r>
    </w:p>
    <w:p w14:paraId="4DBA7DE6" w14:textId="071A1390" w:rsidR="00A1404B" w:rsidRDefault="002C0A8F" w:rsidP="006B2C69">
      <w:pPr>
        <w:rPr>
          <w:rFonts w:hint="eastAsia"/>
        </w:rPr>
      </w:pPr>
      <w:r>
        <w:t xml:space="preserve"> </w:t>
      </w:r>
      <w:r w:rsidR="00DB091A">
        <w:tab/>
      </w:r>
      <w:r w:rsidR="00DB091A" w:rsidRPr="002C0A8F">
        <w:rPr>
          <w:rFonts w:hint="eastAsia"/>
        </w:rPr>
        <w:t>CityNeRF</w:t>
      </w:r>
      <w:r w:rsidR="00DB091A">
        <w:rPr>
          <w:rFonts w:hint="eastAsia"/>
        </w:rPr>
        <w:t>的测试结果令人满意，</w:t>
      </w:r>
      <w:r w:rsidR="00DB091A" w:rsidRPr="00DB091A">
        <w:t>在整个</w:t>
      </w:r>
      <w:r w:rsidR="00DB091A">
        <w:rPr>
          <w:rFonts w:hint="eastAsia"/>
        </w:rPr>
        <w:t>测试</w:t>
      </w:r>
      <w:r w:rsidR="00DB091A" w:rsidRPr="00DB091A">
        <w:t>数据集和每个尺度上都获得了优越的视觉质量，在远程尺度上有显著改善，与联合训练所有图像相比，</w:t>
      </w:r>
      <w:r w:rsidR="00DB091A" w:rsidRPr="00DB091A">
        <w:t>可以产生最详细的中心目标，并在背景对象中获得良好的视觉质量</w:t>
      </w:r>
      <w:r w:rsidR="00DB091A">
        <w:rPr>
          <w:rFonts w:hint="eastAsia"/>
        </w:rPr>
        <w:t>，</w:t>
      </w:r>
      <w:r w:rsidR="00DB091A" w:rsidRPr="00DB091A">
        <w:t>渲染视图的外围区域</w:t>
      </w:r>
      <w:r w:rsidR="00DB091A">
        <w:rPr>
          <w:rFonts w:hint="eastAsia"/>
        </w:rPr>
        <w:t>也</w:t>
      </w:r>
      <w:r w:rsidR="00DB091A" w:rsidRPr="00DB091A">
        <w:t>更清晰、更完整。</w:t>
      </w:r>
    </w:p>
    <w:p w14:paraId="1F63CD7B" w14:textId="54962334" w:rsidR="009D5F49" w:rsidRDefault="00DB091A" w:rsidP="00B8065D">
      <w:pPr>
        <w:ind w:firstLine="420"/>
        <w:rPr>
          <w:rFonts w:hint="eastAsia"/>
        </w:rPr>
      </w:pPr>
      <w:r>
        <w:rPr>
          <w:rFonts w:hint="eastAsia"/>
        </w:rPr>
        <w:t>总的来说，</w:t>
      </w:r>
      <w:r w:rsidR="009D5F49" w:rsidRPr="002C0A8F">
        <w:rPr>
          <w:rFonts w:hint="eastAsia"/>
        </w:rPr>
        <w:t>CityNeRF</w:t>
      </w:r>
      <w:r w:rsidR="009D5F49">
        <w:rPr>
          <w:rFonts w:hint="eastAsia"/>
        </w:rPr>
        <w:t>通过渐进式学习方式实现了更细致的大尺度场景重建</w:t>
      </w:r>
      <w:r>
        <w:rPr>
          <w:rFonts w:hint="eastAsia"/>
        </w:rPr>
        <w:t>，</w:t>
      </w:r>
      <w:r w:rsidR="009D5F49" w:rsidRPr="009D5F49">
        <w:t>为实际应用场景</w:t>
      </w:r>
      <w:r w:rsidR="004B682A">
        <w:rPr>
          <w:rFonts w:hint="eastAsia"/>
        </w:rPr>
        <w:t>地图重建</w:t>
      </w:r>
      <w:r w:rsidR="009D5F49">
        <w:rPr>
          <w:rFonts w:hint="eastAsia"/>
        </w:rPr>
        <w:t>提供了强大可行的解决思路，</w:t>
      </w:r>
      <w:r w:rsidR="004B682A">
        <w:rPr>
          <w:rFonts w:hint="eastAsia"/>
        </w:rPr>
        <w:t>也进一步完善了NeRF这一具有很大潜力的图像合成方法，相信能为</w:t>
      </w:r>
      <w:r w:rsidR="004B682A" w:rsidRPr="009D5F49">
        <w:t>未来相关领域的研究和发展打开新的方向</w:t>
      </w:r>
      <w:r w:rsidR="004B682A">
        <w:rPr>
          <w:rFonts w:hint="eastAsia"/>
        </w:rPr>
        <w:t>。</w:t>
      </w:r>
      <w:bookmarkStart w:id="0" w:name="_GoBack"/>
      <w:bookmarkEnd w:id="0"/>
    </w:p>
    <w:sectPr w:rsidR="009D5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R7">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69"/>
    <w:rsid w:val="00031050"/>
    <w:rsid w:val="000C08E2"/>
    <w:rsid w:val="000F08C1"/>
    <w:rsid w:val="001B5E0C"/>
    <w:rsid w:val="002C0A8F"/>
    <w:rsid w:val="00327C3F"/>
    <w:rsid w:val="004B682A"/>
    <w:rsid w:val="005362EF"/>
    <w:rsid w:val="006B2C69"/>
    <w:rsid w:val="00743FED"/>
    <w:rsid w:val="009D5F49"/>
    <w:rsid w:val="00A1404B"/>
    <w:rsid w:val="00B61357"/>
    <w:rsid w:val="00B8065D"/>
    <w:rsid w:val="00C64C34"/>
    <w:rsid w:val="00DB091A"/>
    <w:rsid w:val="00FA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CC3C"/>
  <w15:chartTrackingRefBased/>
  <w15:docId w15:val="{3AA3DD6B-D736-4A71-89BD-24D1E23B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5E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2C6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B2C6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251</Words>
  <Characters>1431</Characters>
  <Application>Microsoft Office Word</Application>
  <DocSecurity>0</DocSecurity>
  <Lines>11</Lines>
  <Paragraphs>3</Paragraphs>
  <ScaleCrop>false</ScaleCrop>
  <Company>中山大学</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4</cp:revision>
  <dcterms:created xsi:type="dcterms:W3CDTF">2023-12-24T06:03:00Z</dcterms:created>
  <dcterms:modified xsi:type="dcterms:W3CDTF">2023-12-24T08:12:00Z</dcterms:modified>
</cp:coreProperties>
</file>