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7DB2F" w14:textId="6774AB97" w:rsidR="005E2322" w:rsidRDefault="005E2322"/>
    <w:p w14:paraId="01E7A191" w14:textId="2E2DE5C2" w:rsidR="00A2088E" w:rsidRDefault="00A2088E"/>
    <w:p w14:paraId="31D41228" w14:textId="2B84AAE3" w:rsidR="00A2088E" w:rsidRPr="00901DFD" w:rsidRDefault="004C24DC" w:rsidP="00AD57FE">
      <w:pPr>
        <w:pStyle w:val="Titolo1"/>
        <w:rPr>
          <w:u w:val="single"/>
        </w:rPr>
      </w:pPr>
      <w:r w:rsidRPr="00901DFD">
        <w:rPr>
          <w:u w:val="single"/>
        </w:rPr>
        <w:t xml:space="preserve">I_MIM </w:t>
      </w:r>
      <w:r w:rsidR="00AD57FE" w:rsidRPr="00901DFD">
        <w:rPr>
          <w:u w:val="single"/>
        </w:rPr>
        <w:t>Mission Concept</w:t>
      </w:r>
    </w:p>
    <w:p w14:paraId="3B3B33D4" w14:textId="1B9C9D3C" w:rsidR="00AD57FE" w:rsidRPr="00901DFD" w:rsidRDefault="004C24DC" w:rsidP="00AD57FE">
      <w:r w:rsidRPr="00901DFD">
        <w:t>The main objective of the International Mars Ice Mapper (I-MIM) mission concept is to identify and characterize near-surface water ice reservoirs on Mars. The primary payload, an L-band Synthetic Aperture Radar (SAR), is designed to map mid and low latitudes on the surface of Mars to map these reservoirs, supporting future planning of human missions to Mars.</w:t>
      </w:r>
    </w:p>
    <w:p w14:paraId="6248C74F" w14:textId="7269CD80" w:rsidR="004C24DC" w:rsidRPr="00901DFD" w:rsidRDefault="004C24DC" w:rsidP="00AD57FE">
      <w:r w:rsidRPr="00901DFD">
        <w:t xml:space="preserve">The reflector that is placed at the end-effector of the space manipulator can also be used to establish telecommunications with Earth’s ground stations. This configuration provides high download data rates. The objective of this exercise is to design a space robotic manipulator that is capable of pointing the reflector towards the Martian surface and to the Earth by keeping the spacecraft body frame nadir pointed (e.g., </w:t>
      </w:r>
      <w:r w:rsidRPr="00901DFD">
        <w:rPr>
          <w:rFonts w:ascii="Cambria Math" w:hAnsi="Cambria Math" w:cs="Cambria Math"/>
        </w:rPr>
        <w:t>𝒁</w:t>
      </w:r>
      <w:r w:rsidRPr="00901DFD">
        <w:rPr>
          <w:rFonts w:ascii="Calibri" w:hAnsi="Calibri" w:cs="Calibri"/>
        </w:rPr>
        <w:t>̂</w:t>
      </w:r>
      <w:r w:rsidRPr="00901DFD">
        <w:rPr>
          <w:rFonts w:ascii="Cambria Math" w:hAnsi="Cambria Math" w:cs="Cambria Math"/>
        </w:rPr>
        <w:t>𝑺𝑩𝑭</w:t>
      </w:r>
      <w:r w:rsidRPr="00901DFD">
        <w:t xml:space="preserve"> towards the surface). This dual mode is fundamental in supporting the off-nadir pointing of the SAR required to map the ice reservoirs, and to download the data.</w:t>
      </w:r>
    </w:p>
    <w:p w14:paraId="2E8A301E" w14:textId="77777777" w:rsidR="00AD57FE" w:rsidRPr="00901DFD" w:rsidRDefault="00AD57FE" w:rsidP="00AD57FE"/>
    <w:p w14:paraId="59EE1747" w14:textId="6F9B6784" w:rsidR="00AD57FE" w:rsidRPr="00901DFD" w:rsidRDefault="00AD57FE" w:rsidP="00AD57FE">
      <w:pPr>
        <w:pStyle w:val="Titolo1"/>
        <w:rPr>
          <w:u w:val="single"/>
        </w:rPr>
      </w:pPr>
      <w:r w:rsidRPr="00901DFD">
        <w:rPr>
          <w:u w:val="single"/>
        </w:rPr>
        <w:t>Orbit design</w:t>
      </w:r>
    </w:p>
    <w:p w14:paraId="37DF3002" w14:textId="77777777" w:rsidR="004C24DC" w:rsidRPr="00901DFD" w:rsidRDefault="004C24DC" w:rsidP="004C24DC"/>
    <w:p w14:paraId="1D65C0C3" w14:textId="23DD57B8" w:rsidR="004C24DC" w:rsidRPr="00901DFD" w:rsidRDefault="004C24DC" w:rsidP="004C24DC">
      <w:pPr>
        <w:pStyle w:val="Titolo2"/>
      </w:pPr>
      <w:r w:rsidRPr="00901DFD">
        <w:t>Objective</w:t>
      </w:r>
    </w:p>
    <w:p w14:paraId="33B198BC" w14:textId="77777777" w:rsidR="004C24DC" w:rsidRPr="00901DFD" w:rsidRDefault="004C24DC" w:rsidP="004C24DC">
      <w:r w:rsidRPr="00901DFD">
        <w:t>The objective of the first part of this exercise is to choose an orbit that is well-suited for the purpose of the I-MIM mission. Considering the coverage required by the mission (map all latitudes included between 25° N/S and 40° N/S), choose a set of orbital parameters that satisfies the science requirements. For the chosen orbit, provide:</w:t>
      </w:r>
    </w:p>
    <w:p w14:paraId="0769EDE5" w14:textId="77777777" w:rsidR="004C24DC" w:rsidRPr="00901DFD" w:rsidRDefault="004C24DC" w:rsidP="004C24DC">
      <w:pPr>
        <w:pStyle w:val="Paragrafoelenco"/>
        <w:numPr>
          <w:ilvl w:val="0"/>
          <w:numId w:val="2"/>
        </w:numPr>
      </w:pPr>
      <w:r w:rsidRPr="00901DFD">
        <w:t xml:space="preserve"> The semi-major axis </w:t>
      </w:r>
      <w:r w:rsidRPr="00901DFD">
        <w:rPr>
          <w:rFonts w:ascii="Cambria Math" w:hAnsi="Cambria Math" w:cs="Cambria Math"/>
        </w:rPr>
        <w:t>𝑎</w:t>
      </w:r>
      <w:r w:rsidRPr="00901DFD">
        <w:t xml:space="preserve"> </w:t>
      </w:r>
    </w:p>
    <w:p w14:paraId="680C49FC" w14:textId="77777777" w:rsidR="004C24DC" w:rsidRPr="00901DFD" w:rsidRDefault="004C24DC" w:rsidP="004C24DC">
      <w:pPr>
        <w:pStyle w:val="Paragrafoelenco"/>
        <w:numPr>
          <w:ilvl w:val="0"/>
          <w:numId w:val="2"/>
        </w:numPr>
      </w:pPr>
      <w:r w:rsidRPr="00901DFD">
        <w:t xml:space="preserve"> The eccentricity </w:t>
      </w:r>
      <w:r w:rsidRPr="00901DFD">
        <w:rPr>
          <w:rFonts w:ascii="Cambria Math" w:hAnsi="Cambria Math" w:cs="Cambria Math"/>
        </w:rPr>
        <w:t>𝑒</w:t>
      </w:r>
      <w:r w:rsidRPr="00901DFD">
        <w:t xml:space="preserve"> </w:t>
      </w:r>
    </w:p>
    <w:p w14:paraId="56C57F97" w14:textId="77777777" w:rsidR="004C24DC" w:rsidRPr="00901DFD" w:rsidRDefault="004C24DC" w:rsidP="004C24DC">
      <w:pPr>
        <w:pStyle w:val="Paragrafoelenco"/>
        <w:numPr>
          <w:ilvl w:val="0"/>
          <w:numId w:val="2"/>
        </w:numPr>
      </w:pPr>
      <w:r w:rsidRPr="00901DFD">
        <w:t xml:space="preserve"> The inclination </w:t>
      </w:r>
      <w:r w:rsidRPr="00901DFD">
        <w:rPr>
          <w:rFonts w:ascii="Cambria Math" w:hAnsi="Cambria Math" w:cs="Cambria Math"/>
        </w:rPr>
        <w:t>𝑖</w:t>
      </w:r>
      <w:r w:rsidRPr="00901DFD">
        <w:t xml:space="preserve"> </w:t>
      </w:r>
    </w:p>
    <w:p w14:paraId="634DCE74" w14:textId="77777777" w:rsidR="004C24DC" w:rsidRPr="00901DFD" w:rsidRDefault="004C24DC" w:rsidP="004C24DC">
      <w:pPr>
        <w:pStyle w:val="Paragrafoelenco"/>
        <w:numPr>
          <w:ilvl w:val="0"/>
          <w:numId w:val="2"/>
        </w:numPr>
      </w:pPr>
      <w:r w:rsidRPr="00901DFD">
        <w:t xml:space="preserve"> The argument of pericenter </w:t>
      </w:r>
      <w:r w:rsidRPr="00901DFD">
        <w:rPr>
          <w:rFonts w:ascii="Cambria Math" w:hAnsi="Cambria Math" w:cs="Cambria Math"/>
        </w:rPr>
        <w:t>𝜔</w:t>
      </w:r>
      <w:r w:rsidRPr="00901DFD">
        <w:t xml:space="preserve"> </w:t>
      </w:r>
    </w:p>
    <w:p w14:paraId="39A7436C" w14:textId="77777777" w:rsidR="004C24DC" w:rsidRPr="00901DFD" w:rsidRDefault="004C24DC" w:rsidP="004C24DC">
      <w:pPr>
        <w:pStyle w:val="Paragrafoelenco"/>
        <w:numPr>
          <w:ilvl w:val="0"/>
          <w:numId w:val="2"/>
        </w:numPr>
      </w:pPr>
      <w:r w:rsidRPr="00901DFD">
        <w:t xml:space="preserve"> The right ascension of the ascending node Ω</w:t>
      </w:r>
    </w:p>
    <w:p w14:paraId="1316B77A" w14:textId="77777777" w:rsidR="004C24DC" w:rsidRPr="00901DFD" w:rsidRDefault="004C24DC" w:rsidP="004C24DC">
      <w:pPr>
        <w:pStyle w:val="Paragrafoelenco"/>
        <w:numPr>
          <w:ilvl w:val="0"/>
          <w:numId w:val="2"/>
        </w:numPr>
      </w:pPr>
      <w:r w:rsidRPr="00901DFD">
        <w:t xml:space="preserve"> Time series of the spacecraft attitude matrix for nadir pointing </w:t>
      </w:r>
    </w:p>
    <w:p w14:paraId="7D7AEB22" w14:textId="3C4F0261" w:rsidR="004C24DC" w:rsidRPr="00901DFD" w:rsidRDefault="004C24DC" w:rsidP="004C24DC">
      <w:pPr>
        <w:pStyle w:val="Paragrafoelenco"/>
        <w:numPr>
          <w:ilvl w:val="0"/>
          <w:numId w:val="2"/>
        </w:numPr>
      </w:pPr>
      <w:r w:rsidRPr="00901DFD">
        <w:t>(Optional) determine the time required to meet the coverage requirement</w:t>
      </w:r>
    </w:p>
    <w:p w14:paraId="3E1B222C" w14:textId="02BB3DA7" w:rsidR="00062099" w:rsidRPr="00901DFD" w:rsidRDefault="00062099" w:rsidP="00062099">
      <w:pPr>
        <w:pStyle w:val="Titolo2"/>
      </w:pPr>
      <w:r w:rsidRPr="00901DFD">
        <w:t>Theoretical approach</w:t>
      </w:r>
    </w:p>
    <w:p w14:paraId="6438DB0D" w14:textId="74386214" w:rsidR="00062099" w:rsidRPr="00901DFD" w:rsidRDefault="00062099" w:rsidP="00062099"/>
    <w:p w14:paraId="3217A0BD" w14:textId="77CEA404" w:rsidR="00062099" w:rsidRPr="00901DFD" w:rsidRDefault="00062099" w:rsidP="00062099">
      <w:pPr>
        <w:pStyle w:val="Titolo2"/>
      </w:pPr>
      <w:r w:rsidRPr="00901DFD">
        <w:t>Code implementation</w:t>
      </w:r>
    </w:p>
    <w:p w14:paraId="4D77178D" w14:textId="6CCF5DDA" w:rsidR="00062099" w:rsidRPr="00901DFD" w:rsidRDefault="00062099" w:rsidP="00062099"/>
    <w:p w14:paraId="6A506808" w14:textId="7420DEDC" w:rsidR="00062099" w:rsidRPr="00901DFD" w:rsidRDefault="00062099" w:rsidP="00062099">
      <w:pPr>
        <w:pStyle w:val="Titolo2"/>
      </w:pPr>
      <w:r w:rsidRPr="00901DFD">
        <w:t>Results</w:t>
      </w:r>
    </w:p>
    <w:p w14:paraId="10044077" w14:textId="0E29D4B3" w:rsidR="00AD57FE" w:rsidRPr="00901DFD" w:rsidRDefault="00AD57FE" w:rsidP="00AD57FE"/>
    <w:p w14:paraId="75D184BB" w14:textId="03ED868B" w:rsidR="00AD57FE" w:rsidRPr="00901DFD" w:rsidRDefault="00AD57FE" w:rsidP="00AD57FE">
      <w:pPr>
        <w:pStyle w:val="Titolo1"/>
        <w:rPr>
          <w:u w:val="single"/>
        </w:rPr>
      </w:pPr>
      <w:r w:rsidRPr="00901DFD">
        <w:rPr>
          <w:u w:val="single"/>
        </w:rPr>
        <w:lastRenderedPageBreak/>
        <w:t>Manipulator design</w:t>
      </w:r>
    </w:p>
    <w:p w14:paraId="4A4F31B3" w14:textId="77777777" w:rsidR="00062099" w:rsidRPr="00901DFD" w:rsidRDefault="00062099" w:rsidP="00062099"/>
    <w:p w14:paraId="5CFEF4C6" w14:textId="5B328A80" w:rsidR="00062099" w:rsidRPr="00901DFD" w:rsidRDefault="00062099" w:rsidP="00062099">
      <w:pPr>
        <w:pStyle w:val="Titolo2"/>
      </w:pPr>
      <w:r w:rsidRPr="00901DFD">
        <w:t>Objective</w:t>
      </w:r>
    </w:p>
    <w:p w14:paraId="003BD3FB" w14:textId="77777777" w:rsidR="00901DFD" w:rsidRPr="00901DFD" w:rsidRDefault="00901DFD" w:rsidP="00062099">
      <w:r w:rsidRPr="00901DFD">
        <w:t>The second part is to design a two-link manipulator that enables the science operations of the SAR. The assumed strategy is to collect data for one orbit, and to download data to Earth in the following orbit. Design a manipulator that allows an off-nadir (</w:t>
      </w:r>
      <w:r w:rsidRPr="00901DFD">
        <w:rPr>
          <w:rFonts w:ascii="Cambria Math" w:hAnsi="Cambria Math" w:cs="Cambria Math"/>
        </w:rPr>
        <w:t>𝜂</w:t>
      </w:r>
      <w:r w:rsidRPr="00901DFD">
        <w:t xml:space="preserve">=15°) pointing of the array when collecting data, and to point the antenna to the Earth to download the data. The spacecraft attitude must be fixed during these operations. Assume that the AOCS subsystem of the spacecraft keeps the attitude nadir pointed by compensating the torques generated by the manipulator links. Address the following tasks: </w:t>
      </w:r>
    </w:p>
    <w:p w14:paraId="0A1E2EBA" w14:textId="77777777" w:rsidR="00901DFD" w:rsidRPr="00901DFD" w:rsidRDefault="00901DFD" w:rsidP="00901DFD">
      <w:pPr>
        <w:pStyle w:val="Paragrafoelenco"/>
        <w:numPr>
          <w:ilvl w:val="0"/>
          <w:numId w:val="3"/>
        </w:numPr>
      </w:pPr>
      <w:r w:rsidRPr="00901DFD">
        <w:t xml:space="preserve"> Model the manipulator by using the </w:t>
      </w:r>
      <w:proofErr w:type="spellStart"/>
      <w:r w:rsidRPr="00901DFD">
        <w:t>Denavit-Hartenberg</w:t>
      </w:r>
      <w:proofErr w:type="spellEnd"/>
      <w:r w:rsidRPr="00901DFD">
        <w:t xml:space="preserve"> formulation. </w:t>
      </w:r>
    </w:p>
    <w:p w14:paraId="11590259" w14:textId="77777777" w:rsidR="00901DFD" w:rsidRPr="00901DFD" w:rsidRDefault="00901DFD" w:rsidP="00901DFD">
      <w:pPr>
        <w:pStyle w:val="Paragrafoelenco"/>
        <w:numPr>
          <w:ilvl w:val="0"/>
          <w:numId w:val="3"/>
        </w:numPr>
      </w:pPr>
      <w:r w:rsidRPr="00901DFD">
        <w:t xml:space="preserve"> Determine the Jacobian and the dynamical equations. </w:t>
      </w:r>
    </w:p>
    <w:p w14:paraId="7B7A41D9" w14:textId="77777777" w:rsidR="00901DFD" w:rsidRPr="00901DFD" w:rsidRDefault="00901DFD" w:rsidP="00901DFD">
      <w:pPr>
        <w:pStyle w:val="Paragrafoelenco"/>
        <w:numPr>
          <w:ilvl w:val="0"/>
          <w:numId w:val="3"/>
        </w:numPr>
      </w:pPr>
      <w:r w:rsidRPr="00901DFD">
        <w:t xml:space="preserve"> By assuming that the manipulator is initially fully stretched (</w:t>
      </w:r>
      <w:r w:rsidRPr="00901DFD">
        <w:rPr>
          <w:rFonts w:ascii="Cambria Math" w:hAnsi="Cambria Math" w:cs="Cambria Math"/>
        </w:rPr>
        <w:t>𝜃</w:t>
      </w:r>
      <w:r w:rsidRPr="00901DFD">
        <w:t xml:space="preserve">1 = </w:t>
      </w:r>
      <w:r w:rsidRPr="00901DFD">
        <w:rPr>
          <w:rFonts w:ascii="Cambria Math" w:hAnsi="Cambria Math" w:cs="Cambria Math"/>
        </w:rPr>
        <w:t>𝜃</w:t>
      </w:r>
      <w:r w:rsidRPr="00901DFD">
        <w:t xml:space="preserve">2 = 0), determine the trajectory of the end-effector that enables a constant pointing of the instrument to T (i.e., off-nadir or Earth pointing orientation) from its initial position </w:t>
      </w:r>
      <w:r w:rsidRPr="00901DFD">
        <w:rPr>
          <w:rFonts w:ascii="Cambria Math" w:hAnsi="Cambria Math" w:cs="Cambria Math"/>
        </w:rPr>
        <w:t>𝑃</w:t>
      </w:r>
      <w:r w:rsidRPr="00901DFD">
        <w:t xml:space="preserve">0 to </w:t>
      </w:r>
      <w:r w:rsidRPr="00901DFD">
        <w:rPr>
          <w:rFonts w:ascii="Cambria Math" w:hAnsi="Cambria Math" w:cs="Cambria Math"/>
        </w:rPr>
        <w:t>𝑃𝑓</w:t>
      </w:r>
      <w:r w:rsidRPr="00901DFD">
        <w:t xml:space="preserve">. </w:t>
      </w:r>
    </w:p>
    <w:p w14:paraId="3CF82E9C" w14:textId="48116A91" w:rsidR="00062099" w:rsidRPr="00901DFD" w:rsidRDefault="00901DFD" w:rsidP="00901DFD">
      <w:pPr>
        <w:pStyle w:val="Paragrafoelenco"/>
        <w:numPr>
          <w:ilvl w:val="0"/>
          <w:numId w:val="3"/>
        </w:numPr>
      </w:pPr>
      <w:r w:rsidRPr="00901DFD">
        <w:t>Determine a control scheme of the manipulator that allows fulfilling the desired trajectory retrieved in point 3, by assuming that the atmospheric drag force is acting on the end-effector (assume that the antenna diameter is 8 m). The atmospheric drag can be computed by retrieving the atmosphere density from http://www-mars.lmd.jussieu.fr/mcd_python/. The drag force can be assumed to be constant.</w:t>
      </w:r>
    </w:p>
    <w:p w14:paraId="438699F3" w14:textId="749251F7" w:rsidR="00062099" w:rsidRPr="00901DFD" w:rsidRDefault="00062099" w:rsidP="00062099">
      <w:pPr>
        <w:pStyle w:val="Titolo2"/>
      </w:pPr>
      <w:r w:rsidRPr="00901DFD">
        <w:t>Theoretical approach</w:t>
      </w:r>
    </w:p>
    <w:p w14:paraId="2C5F68FE" w14:textId="0BC45C02" w:rsidR="00062099" w:rsidRDefault="00A90411" w:rsidP="00062099">
      <w:proofErr w:type="spellStart"/>
      <w:r w:rsidRPr="00A90411">
        <w:rPr>
          <w:highlight w:val="yellow"/>
        </w:rPr>
        <w:t>Parte</w:t>
      </w:r>
      <w:proofErr w:type="spellEnd"/>
      <w:r w:rsidRPr="00A90411">
        <w:rPr>
          <w:highlight w:val="yellow"/>
        </w:rPr>
        <w:t xml:space="preserve"> </w:t>
      </w:r>
      <w:proofErr w:type="spellStart"/>
      <w:r w:rsidRPr="00A90411">
        <w:rPr>
          <w:highlight w:val="yellow"/>
        </w:rPr>
        <w:t>introduttiva</w:t>
      </w:r>
      <w:proofErr w:type="spellEnd"/>
    </w:p>
    <w:p w14:paraId="6E7E5181" w14:textId="7F066D25" w:rsidR="00A90411" w:rsidRDefault="00A90411" w:rsidP="00062099">
      <w:r>
        <w:t xml:space="preserve">The manipulator is defined via the </w:t>
      </w:r>
      <w:proofErr w:type="spellStart"/>
      <w:r>
        <w:t>Denavit-Hartenberg</w:t>
      </w:r>
      <w:proofErr w:type="spellEnd"/>
      <w:r>
        <w:t xml:space="preserve"> classical convention; the table XXX resumes its characteristics.</w:t>
      </w:r>
      <w:r w:rsidR="00D45CF8">
        <w:t xml:space="preserve"> The Figure XXX schematically shows the manipulator in a generic pose with its links and rotary joints; the squared plane represents the spacecraft’s face which normal is aligned with the orbit’s one.</w:t>
      </w:r>
    </w:p>
    <w:tbl>
      <w:tblPr>
        <w:tblStyle w:val="Grigliatabella"/>
        <w:tblW w:w="0" w:type="auto"/>
        <w:tblLook w:val="04A0" w:firstRow="1" w:lastRow="0" w:firstColumn="1" w:lastColumn="0" w:noHBand="0" w:noVBand="1"/>
      </w:tblPr>
      <w:tblGrid>
        <w:gridCol w:w="1870"/>
        <w:gridCol w:w="1870"/>
        <w:gridCol w:w="1870"/>
        <w:gridCol w:w="1870"/>
        <w:gridCol w:w="1870"/>
      </w:tblGrid>
      <w:tr w:rsidR="00A90411" w14:paraId="7569C151" w14:textId="77777777" w:rsidTr="00A90411">
        <w:tc>
          <w:tcPr>
            <w:tcW w:w="1870" w:type="dxa"/>
            <w:vAlign w:val="center"/>
          </w:tcPr>
          <w:p w14:paraId="4B8C4208" w14:textId="3F60143A" w:rsidR="00A90411" w:rsidRDefault="00A90411" w:rsidP="00A90411">
            <w:pPr>
              <w:jc w:val="center"/>
            </w:pPr>
            <w:r>
              <w:t>DH Table</w:t>
            </w:r>
          </w:p>
        </w:tc>
        <w:tc>
          <w:tcPr>
            <w:tcW w:w="1870" w:type="dxa"/>
            <w:vAlign w:val="center"/>
          </w:tcPr>
          <w:p w14:paraId="5ECDF97B" w14:textId="23D45A00" w:rsidR="00A90411" w:rsidRDefault="00A90411" w:rsidP="00A90411">
            <w:pPr>
              <w:jc w:val="center"/>
            </w:pPr>
            <m:oMathPara>
              <m:oMath>
                <m:r>
                  <w:rPr>
                    <w:rFonts w:ascii="Cambria Math" w:hAnsi="Cambria Math"/>
                  </w:rPr>
                  <m:t>α</m:t>
                </m:r>
              </m:oMath>
            </m:oMathPara>
          </w:p>
        </w:tc>
        <w:tc>
          <w:tcPr>
            <w:tcW w:w="1870" w:type="dxa"/>
            <w:vAlign w:val="center"/>
          </w:tcPr>
          <w:p w14:paraId="1EE8D5F4" w14:textId="76944C6B" w:rsidR="00A90411" w:rsidRDefault="00A90411" w:rsidP="00A90411">
            <w:pPr>
              <w:jc w:val="center"/>
            </w:pPr>
            <w:r>
              <w:t>a</w:t>
            </w:r>
          </w:p>
        </w:tc>
        <w:tc>
          <w:tcPr>
            <w:tcW w:w="1870" w:type="dxa"/>
            <w:vAlign w:val="center"/>
          </w:tcPr>
          <w:p w14:paraId="6564A530" w14:textId="3244A41A" w:rsidR="00A90411" w:rsidRDefault="00A90411" w:rsidP="00A90411">
            <w:pPr>
              <w:jc w:val="center"/>
            </w:pPr>
            <w:r>
              <w:t>d</w:t>
            </w:r>
          </w:p>
        </w:tc>
        <w:tc>
          <w:tcPr>
            <w:tcW w:w="1870" w:type="dxa"/>
            <w:vAlign w:val="center"/>
          </w:tcPr>
          <w:p w14:paraId="61222170" w14:textId="175E5201" w:rsidR="00A90411" w:rsidRDefault="00A90411" w:rsidP="00A90411">
            <w:pPr>
              <w:jc w:val="center"/>
            </w:pPr>
            <m:oMathPara>
              <m:oMath>
                <m:r>
                  <w:rPr>
                    <w:rFonts w:ascii="Cambria Math" w:hAnsi="Cambria Math"/>
                  </w:rPr>
                  <m:t>θ</m:t>
                </m:r>
              </m:oMath>
            </m:oMathPara>
          </w:p>
        </w:tc>
      </w:tr>
      <w:tr w:rsidR="00A90411" w14:paraId="37A6638D" w14:textId="77777777" w:rsidTr="00A90411">
        <w:tc>
          <w:tcPr>
            <w:tcW w:w="1870" w:type="dxa"/>
            <w:vAlign w:val="center"/>
          </w:tcPr>
          <w:p w14:paraId="752A3563" w14:textId="2DD08919" w:rsidR="00A90411" w:rsidRDefault="00A90411" w:rsidP="00A90411">
            <w:pPr>
              <w:jc w:val="center"/>
            </w:pPr>
            <w:r>
              <w:t>Link 1</w:t>
            </w:r>
          </w:p>
        </w:tc>
        <w:tc>
          <w:tcPr>
            <w:tcW w:w="1870" w:type="dxa"/>
            <w:vAlign w:val="center"/>
          </w:tcPr>
          <w:p w14:paraId="6F4F05A2" w14:textId="13B677CE" w:rsidR="00A90411" w:rsidRDefault="00000000" w:rsidP="00A90411">
            <w:pPr>
              <w:jc w:val="center"/>
            </w:pPr>
            <m:oMathPara>
              <m:oMath>
                <m:f>
                  <m:fPr>
                    <m:ctrlPr>
                      <w:rPr>
                        <w:rFonts w:ascii="Cambria Math" w:hAnsi="Cambria Math"/>
                        <w:i/>
                      </w:rPr>
                    </m:ctrlPr>
                  </m:fPr>
                  <m:num>
                    <m:r>
                      <w:rPr>
                        <w:rFonts w:ascii="Cambria Math" w:hAnsi="Cambria Math"/>
                      </w:rPr>
                      <m:t>π</m:t>
                    </m:r>
                  </m:num>
                  <m:den>
                    <m:r>
                      <w:rPr>
                        <w:rFonts w:ascii="Cambria Math" w:hAnsi="Cambria Math"/>
                      </w:rPr>
                      <m:t>2</m:t>
                    </m:r>
                  </m:den>
                </m:f>
              </m:oMath>
            </m:oMathPara>
          </w:p>
        </w:tc>
        <w:tc>
          <w:tcPr>
            <w:tcW w:w="1870" w:type="dxa"/>
            <w:vAlign w:val="center"/>
          </w:tcPr>
          <w:p w14:paraId="4597FCA1" w14:textId="00C673A0" w:rsidR="00A90411" w:rsidRDefault="00A90411" w:rsidP="00A90411">
            <w:pPr>
              <w:jc w:val="center"/>
            </w:pPr>
            <m:oMathPara>
              <m:oMath>
                <m:r>
                  <w:rPr>
                    <w:rFonts w:ascii="Cambria Math" w:eastAsiaTheme="minorEastAsia" w:hAnsi="Cambria Math"/>
                  </w:rPr>
                  <m:t>0</m:t>
                </m:r>
              </m:oMath>
            </m:oMathPara>
          </w:p>
        </w:tc>
        <w:tc>
          <w:tcPr>
            <w:tcW w:w="1870" w:type="dxa"/>
            <w:vAlign w:val="center"/>
          </w:tcPr>
          <w:p w14:paraId="72C3922A" w14:textId="3166F738" w:rsidR="00A90411" w:rsidRDefault="00000000" w:rsidP="00A90411">
            <w:pPr>
              <w:jc w:val="center"/>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oMath>
            </m:oMathPara>
          </w:p>
        </w:tc>
        <w:tc>
          <w:tcPr>
            <w:tcW w:w="1870" w:type="dxa"/>
            <w:vAlign w:val="center"/>
          </w:tcPr>
          <w:p w14:paraId="53CB41C1" w14:textId="5AD44304" w:rsidR="00A90411" w:rsidRDefault="00000000" w:rsidP="00A90411">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oMath>
            </m:oMathPara>
          </w:p>
        </w:tc>
      </w:tr>
      <w:tr w:rsidR="00A90411" w14:paraId="7CE30A62" w14:textId="77777777" w:rsidTr="00A90411">
        <w:tc>
          <w:tcPr>
            <w:tcW w:w="1870" w:type="dxa"/>
            <w:vAlign w:val="center"/>
          </w:tcPr>
          <w:p w14:paraId="0545FB48" w14:textId="4611E03A" w:rsidR="00A90411" w:rsidRDefault="00A90411" w:rsidP="00A90411">
            <w:pPr>
              <w:jc w:val="center"/>
            </w:pPr>
            <w:r>
              <w:t>Link 2</w:t>
            </w:r>
          </w:p>
        </w:tc>
        <w:tc>
          <w:tcPr>
            <w:tcW w:w="1870" w:type="dxa"/>
            <w:vAlign w:val="center"/>
          </w:tcPr>
          <w:p w14:paraId="68C5B193" w14:textId="4014A4F1" w:rsidR="00A90411" w:rsidRDefault="00A90411" w:rsidP="00A90411">
            <w:pPr>
              <w:jc w:val="center"/>
            </w:pPr>
            <m:oMathPara>
              <m:oMath>
                <m:r>
                  <w:rPr>
                    <w:rFonts w:ascii="Cambria Math" w:hAnsi="Cambria Math"/>
                  </w:rPr>
                  <m:t>0</m:t>
                </m:r>
              </m:oMath>
            </m:oMathPara>
          </w:p>
        </w:tc>
        <w:tc>
          <w:tcPr>
            <w:tcW w:w="1870" w:type="dxa"/>
            <w:vAlign w:val="center"/>
          </w:tcPr>
          <w:p w14:paraId="033A4BFE" w14:textId="5C20F278" w:rsidR="00A90411" w:rsidRDefault="00000000" w:rsidP="00A90411">
            <w:pPr>
              <w:jc w:val="center"/>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oMath>
            </m:oMathPara>
          </w:p>
        </w:tc>
        <w:tc>
          <w:tcPr>
            <w:tcW w:w="1870" w:type="dxa"/>
            <w:vAlign w:val="center"/>
          </w:tcPr>
          <w:p w14:paraId="6E81FEDA" w14:textId="2F64EAA2" w:rsidR="00A90411" w:rsidRDefault="00A90411" w:rsidP="00A90411">
            <w:pPr>
              <w:jc w:val="center"/>
            </w:pPr>
            <m:oMathPara>
              <m:oMath>
                <m:r>
                  <w:rPr>
                    <w:rFonts w:ascii="Cambria Math" w:hAnsi="Cambria Math"/>
                  </w:rPr>
                  <m:t>0</m:t>
                </m:r>
              </m:oMath>
            </m:oMathPara>
          </w:p>
        </w:tc>
        <w:tc>
          <w:tcPr>
            <w:tcW w:w="1870" w:type="dxa"/>
            <w:vAlign w:val="center"/>
          </w:tcPr>
          <w:p w14:paraId="0C1AD827" w14:textId="54B90628" w:rsidR="00A90411" w:rsidRDefault="00000000" w:rsidP="00A90411">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oMath>
            </m:oMathPara>
          </w:p>
        </w:tc>
      </w:tr>
    </w:tbl>
    <w:p w14:paraId="6F953F82" w14:textId="4745FDD2" w:rsidR="00A90411" w:rsidRDefault="00A90411" w:rsidP="00062099"/>
    <w:p w14:paraId="6327355B" w14:textId="1D2D69D8" w:rsidR="00D45CF8" w:rsidRDefault="00D45CF8" w:rsidP="00A8158A">
      <w:pPr>
        <w:jc w:val="center"/>
      </w:pPr>
      <w:r>
        <w:rPr>
          <w:noProof/>
        </w:rPr>
        <w:drawing>
          <wp:inline distT="0" distB="0" distL="0" distR="0" wp14:anchorId="71C55364" wp14:editId="7A994A77">
            <wp:extent cx="1965960" cy="1973761"/>
            <wp:effectExtent l="0" t="0" r="0" b="762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rotWithShape="1">
                    <a:blip r:embed="rId7" cstate="print">
                      <a:extLst>
                        <a:ext uri="{28A0092B-C50C-407E-A947-70E740481C1C}">
                          <a14:useLocalDpi xmlns:a14="http://schemas.microsoft.com/office/drawing/2010/main" val="0"/>
                        </a:ext>
                      </a:extLst>
                    </a:blip>
                    <a:srcRect l="33163" t="4383" r="23761" b="6904"/>
                    <a:stretch/>
                  </pic:blipFill>
                  <pic:spPr bwMode="auto">
                    <a:xfrm>
                      <a:off x="0" y="0"/>
                      <a:ext cx="1965960" cy="1973761"/>
                    </a:xfrm>
                    <a:prstGeom prst="rect">
                      <a:avLst/>
                    </a:prstGeom>
                    <a:ln>
                      <a:noFill/>
                    </a:ln>
                    <a:extLst>
                      <a:ext uri="{53640926-AAD7-44D8-BBD7-CCE9431645EC}">
                        <a14:shadowObscured xmlns:a14="http://schemas.microsoft.com/office/drawing/2010/main"/>
                      </a:ext>
                    </a:extLst>
                  </pic:spPr>
                </pic:pic>
              </a:graphicData>
            </a:graphic>
          </wp:inline>
        </w:drawing>
      </w:r>
    </w:p>
    <w:p w14:paraId="72423E0F" w14:textId="1D714462" w:rsidR="009C2AE8" w:rsidRDefault="009C2AE8" w:rsidP="00062099">
      <w:r>
        <w:lastRenderedPageBreak/>
        <w:t xml:space="preserve">Considering the spacecraft’s central body like a cube of </w:t>
      </w:r>
      <w:r w:rsidRPr="008A5636">
        <w:t xml:space="preserve">length </w:t>
      </w:r>
      <w:r w:rsidR="008A5636" w:rsidRPr="008A5636">
        <w:t>L = 1</w:t>
      </w:r>
      <w:r w:rsidRPr="008A5636">
        <w:t xml:space="preserve"> m</w:t>
      </w:r>
      <w:r>
        <w:t>, the Transformation matrix from the LVLH to the base frame can be defined as shown in eq. XXX</w:t>
      </w:r>
      <w:r w:rsidR="00753EA1">
        <w:t xml:space="preserve">. The LVLH frame (Local Vertical Local Horizontal) is located at the </w:t>
      </w:r>
      <w:r w:rsidR="005E0B59">
        <w:t>cube’s center with the z-axis pointing towards the planet, the y axis is parallel to the spacecraft velocity and the x-axis is to get a right-handed triad.</w:t>
      </w:r>
      <w:r w:rsidR="00CD33AF">
        <w:t xml:space="preserve"> </w:t>
      </w:r>
      <w:r w:rsidR="00CD33AF" w:rsidRPr="008A5636">
        <w:t>The base frame i</w:t>
      </w:r>
      <w:r w:rsidR="008A5636">
        <w:t xml:space="preserve">s located at the center of the spacecraft face </w:t>
      </w:r>
      <w:r w:rsidR="00F209A0">
        <w:t xml:space="preserve">that mount the manipulator with the x and y axis lying on it while the z axis is parallel and agree to the first joint rotation axis. The figure XXX shows the s/c with the LVLH and Base frames attached on it. </w:t>
      </w:r>
      <w:r w:rsidR="005E0B59">
        <w:t xml:space="preserve"> </w:t>
      </w:r>
    </w:p>
    <w:p w14:paraId="00FB63B3" w14:textId="4683BE78" w:rsidR="009C2AE8" w:rsidRPr="00753EA1" w:rsidRDefault="00000000" w:rsidP="00062099">
      <w:pPr>
        <w:rPr>
          <w:rFonts w:eastAsiaTheme="minorEastAsia"/>
        </w:rPr>
      </w:pPr>
      <m:oMathPara>
        <m:oMath>
          <m:sPre>
            <m:sPrePr>
              <m:ctrlPr>
                <w:rPr>
                  <w:rFonts w:ascii="Cambria Math" w:hAnsi="Cambria Math"/>
                  <w:i/>
                </w:rPr>
              </m:ctrlPr>
            </m:sPrePr>
            <m:sub>
              <m:r>
                <w:rPr>
                  <w:rFonts w:ascii="Cambria Math" w:hAnsi="Cambria Math"/>
                </w:rPr>
                <m:t>LVLH</m:t>
              </m:r>
            </m:sub>
            <m:sup>
              <m:r>
                <w:rPr>
                  <w:rFonts w:ascii="Cambria Math" w:hAnsi="Cambria Math"/>
                </w:rPr>
                <m:t>B</m:t>
              </m:r>
            </m:sup>
            <m:e>
              <m:r>
                <w:rPr>
                  <w:rFonts w:ascii="Cambria Math" w:hAnsi="Cambria Math"/>
                </w:rPr>
                <m:t>T</m:t>
              </m:r>
            </m:e>
          </m:sPr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y</m:t>
              </m:r>
            </m:sub>
          </m:sSub>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z</m:t>
              </m:r>
            </m:sub>
          </m:sSub>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4</m:t>
                  </m:r>
                </m:den>
              </m:f>
            </m:e>
          </m:d>
          <m:sSub>
            <m:sSubPr>
              <m:ctrlPr>
                <w:rPr>
                  <w:rFonts w:ascii="Cambria Math" w:hAnsi="Cambria Math"/>
                  <w:i/>
                </w:rPr>
              </m:ctrlPr>
            </m:sSubPr>
            <m:e>
              <m:r>
                <w:rPr>
                  <w:rFonts w:ascii="Cambria Math" w:hAnsi="Cambria Math"/>
                </w:rPr>
                <m:t>D</m:t>
              </m:r>
            </m:e>
            <m:sub>
              <m:r>
                <w:rPr>
                  <w:rFonts w:ascii="Cambria Math" w:hAnsi="Cambria Math"/>
                </w:rPr>
                <m:t>z</m:t>
              </m:r>
            </m:sub>
          </m:sSub>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2</m:t>
                  </m:r>
                </m:den>
              </m:f>
            </m:e>
          </m:d>
        </m:oMath>
      </m:oMathPara>
    </w:p>
    <w:p w14:paraId="472EDE6E" w14:textId="1D591EDF" w:rsidR="00753EA1" w:rsidRDefault="00CD33AF" w:rsidP="00062099">
      <w:r>
        <w:rPr>
          <w:noProof/>
        </w:rPr>
        <w:drawing>
          <wp:inline distT="0" distB="0" distL="0" distR="0" wp14:anchorId="1E0F39F8" wp14:editId="7EDF5F20">
            <wp:extent cx="2834640" cy="2199640"/>
            <wp:effectExtent l="0" t="0" r="381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rotWithShape="1">
                    <a:blip r:embed="rId8" cstate="print">
                      <a:extLst>
                        <a:ext uri="{28A0092B-C50C-407E-A947-70E740481C1C}">
                          <a14:useLocalDpi xmlns:a14="http://schemas.microsoft.com/office/drawing/2010/main" val="0"/>
                        </a:ext>
                      </a:extLst>
                    </a:blip>
                    <a:srcRect l="41965" t="20969" r="10342" b="13238"/>
                    <a:stretch/>
                  </pic:blipFill>
                  <pic:spPr bwMode="auto">
                    <a:xfrm>
                      <a:off x="0" y="0"/>
                      <a:ext cx="2834640" cy="2199640"/>
                    </a:xfrm>
                    <a:prstGeom prst="rect">
                      <a:avLst/>
                    </a:prstGeom>
                    <a:ln>
                      <a:noFill/>
                    </a:ln>
                    <a:extLst>
                      <a:ext uri="{53640926-AAD7-44D8-BBD7-CCE9431645EC}">
                        <a14:shadowObscured xmlns:a14="http://schemas.microsoft.com/office/drawing/2010/main"/>
                      </a:ext>
                    </a:extLst>
                  </pic:spPr>
                </pic:pic>
              </a:graphicData>
            </a:graphic>
          </wp:inline>
        </w:drawing>
      </w:r>
    </w:p>
    <w:p w14:paraId="7F021E7C" w14:textId="71EF0A1C" w:rsidR="00F209A0" w:rsidRPr="00F209A0" w:rsidRDefault="00F209A0" w:rsidP="00062099">
      <w:pPr>
        <w:rPr>
          <w:lang w:val="it-IT"/>
        </w:rPr>
      </w:pPr>
      <w:r>
        <w:t xml:space="preserve">The rotation of 45 deg around the z axis is due to… </w:t>
      </w:r>
      <w:r w:rsidRPr="005D690B">
        <w:rPr>
          <w:highlight w:val="yellow"/>
          <w:lang w:val="it-IT"/>
        </w:rPr>
        <w:t>{famose spiega da Adriano il perché (ha a che fare con le singolarità)}</w:t>
      </w:r>
    </w:p>
    <w:p w14:paraId="6750B2FC" w14:textId="6266891E" w:rsidR="00062099" w:rsidRPr="00901DFD" w:rsidRDefault="00062099" w:rsidP="00062099">
      <w:pPr>
        <w:pStyle w:val="Titolo2"/>
      </w:pPr>
      <w:r w:rsidRPr="00901DFD">
        <w:t>Code implementation</w:t>
      </w:r>
    </w:p>
    <w:p w14:paraId="12A72BD4" w14:textId="32491505" w:rsidR="00062099" w:rsidRPr="00901DFD" w:rsidRDefault="00062099" w:rsidP="00062099"/>
    <w:p w14:paraId="38B832B7" w14:textId="5AF1D211" w:rsidR="00062099" w:rsidRPr="00901DFD" w:rsidRDefault="00062099" w:rsidP="00062099">
      <w:pPr>
        <w:pStyle w:val="Titolo2"/>
      </w:pPr>
      <w:r w:rsidRPr="00901DFD">
        <w:t xml:space="preserve">Results </w:t>
      </w:r>
    </w:p>
    <w:p w14:paraId="687A8C2F" w14:textId="4060D97D" w:rsidR="00AD57FE" w:rsidRPr="00901DFD" w:rsidRDefault="00AD57FE" w:rsidP="00AD57FE"/>
    <w:p w14:paraId="5E847842" w14:textId="0A14CC57" w:rsidR="00AD57FE" w:rsidRPr="00901DFD" w:rsidRDefault="00AD57FE" w:rsidP="00AD57FE">
      <w:pPr>
        <w:pStyle w:val="Titolo1"/>
      </w:pPr>
      <w:r w:rsidRPr="00901DFD">
        <w:t>Virtual manipulator</w:t>
      </w:r>
    </w:p>
    <w:p w14:paraId="5AEFEA3D" w14:textId="40FA0EAF" w:rsidR="00062099" w:rsidRPr="00901DFD" w:rsidRDefault="00062099" w:rsidP="00062099"/>
    <w:p w14:paraId="54123853" w14:textId="43083E96" w:rsidR="00062099" w:rsidRPr="00901DFD" w:rsidRDefault="00062099" w:rsidP="00062099">
      <w:pPr>
        <w:pStyle w:val="Titolo2"/>
      </w:pPr>
      <w:r w:rsidRPr="00901DFD">
        <w:t>Objective</w:t>
      </w:r>
    </w:p>
    <w:p w14:paraId="3096FB60" w14:textId="77777777" w:rsidR="00E425C4" w:rsidRDefault="00E425C4" w:rsidP="00062099">
      <w:r>
        <w:t>Assuming that the AOCS subsystem does not compensate the torques generated by the manipulator links:</w:t>
      </w:r>
    </w:p>
    <w:p w14:paraId="45B15DFA" w14:textId="77777777" w:rsidR="00E425C4" w:rsidRDefault="00E425C4" w:rsidP="00E425C4">
      <w:pPr>
        <w:pStyle w:val="Paragrafoelenco"/>
        <w:numPr>
          <w:ilvl w:val="0"/>
          <w:numId w:val="4"/>
        </w:numPr>
      </w:pPr>
      <w:r>
        <w:t xml:space="preserve"> Model the virtual manipulator by assuming a spacecraft mass m = 500 kg.</w:t>
      </w:r>
    </w:p>
    <w:p w14:paraId="2E55C893" w14:textId="53018A22" w:rsidR="00062099" w:rsidRPr="00901DFD" w:rsidRDefault="00E425C4" w:rsidP="00E425C4">
      <w:pPr>
        <w:pStyle w:val="Paragrafoelenco"/>
        <w:numPr>
          <w:ilvl w:val="0"/>
          <w:numId w:val="4"/>
        </w:numPr>
      </w:pPr>
      <w:r>
        <w:t xml:space="preserve"> Determine the trajectory of the end-effector for the virtual manipulator.</w:t>
      </w:r>
    </w:p>
    <w:p w14:paraId="23971BA9" w14:textId="77777777" w:rsidR="00062099" w:rsidRPr="00901DFD" w:rsidRDefault="00062099" w:rsidP="00062099">
      <w:pPr>
        <w:pStyle w:val="Titolo2"/>
      </w:pPr>
      <w:r w:rsidRPr="00901DFD">
        <w:t>Theoretical approach</w:t>
      </w:r>
    </w:p>
    <w:p w14:paraId="79AACDDA" w14:textId="198357AB" w:rsidR="003106C4" w:rsidRPr="007C12F0" w:rsidRDefault="003106C4" w:rsidP="003106C4">
      <w:r w:rsidRPr="007C12F0">
        <w:t xml:space="preserve">The method, originally proposed by </w:t>
      </w:r>
      <w:proofErr w:type="spellStart"/>
      <w:r w:rsidRPr="007C12F0">
        <w:t>Vafa</w:t>
      </w:r>
      <w:proofErr w:type="spellEnd"/>
      <w:r w:rsidRPr="007C12F0">
        <w:t xml:space="preserve"> and </w:t>
      </w:r>
      <w:proofErr w:type="spellStart"/>
      <w:r w:rsidRPr="007C12F0">
        <w:t>Dubowsky</w:t>
      </w:r>
      <w:proofErr w:type="spellEnd"/>
      <w:r w:rsidR="00D560BC">
        <w:rPr>
          <w:vertAlign w:val="superscript"/>
        </w:rPr>
        <w:t>[1]</w:t>
      </w:r>
      <w:r w:rsidRPr="007C12F0">
        <w:t xml:space="preserve">, introduces the concept of a "Virtual Manipulator" for the modelling of manipulators working in space. It is shown that the implementation of a virtual manipulator and a virtual ground can facilitate the planning and control of the actual </w:t>
      </w:r>
      <w:r w:rsidRPr="007C12F0">
        <w:lastRenderedPageBreak/>
        <w:t>manipulator mounted on the spacecraft while simultaneously minimizing the degrading consequences of manipulator/vehicle dynamic interactions.</w:t>
      </w:r>
    </w:p>
    <w:p w14:paraId="28A81CC2" w14:textId="77777777" w:rsidR="003106C4" w:rsidRDefault="003106C4" w:rsidP="003106C4">
      <w:r w:rsidRPr="007C12F0">
        <w:t xml:space="preserve">The virtual ground is an imaginary point, fixed in inertial space, defined as the center of mass of the whole system. If the spacecraft is unaffected by external forces (such as reaction wheels or ACS jets) the position of the virtual ground will remain unchanged in </w:t>
      </w:r>
      <w:r>
        <w:t>inertial</w:t>
      </w:r>
      <w:r w:rsidRPr="007C12F0">
        <w:t xml:space="preserve"> space. Analogously, internal forces given by joint torques or forces will also not move the position of the VG. As such the virtual manipulator is shown[] to have exploitable properties which enables us to </w:t>
      </w:r>
      <w:r>
        <w:t>model</w:t>
      </w:r>
      <w:r w:rsidRPr="007C12F0">
        <w:t xml:space="preserve"> the kinematic and dynamic motion of the free-floating manipulator system by utilizing the simpler virtual manipulator which has a fixed base in </w:t>
      </w:r>
      <w:r>
        <w:t>inertial</w:t>
      </w:r>
      <w:r w:rsidRPr="007C12F0">
        <w:t xml:space="preserve"> space.</w:t>
      </w:r>
    </w:p>
    <w:p w14:paraId="5463FBFE" w14:textId="77777777" w:rsidR="003106C4" w:rsidRDefault="003106C4" w:rsidP="003106C4">
      <w:r>
        <w:t xml:space="preserve">In the virtual space, the manipulator gains degrees of freedom related to the position and attitude of the spacecraft. Our system will therefore have 6 + 2 DOF. </w:t>
      </w:r>
    </w:p>
    <w:p w14:paraId="1AC71DFC" w14:textId="77777777" w:rsidR="003106C4" w:rsidRDefault="003106C4" w:rsidP="003106C4">
      <w:pPr>
        <w:rPr>
          <w:rFonts w:eastAsiaTheme="minorEastAsia"/>
        </w:rPr>
      </w:pPr>
      <w:r>
        <w:t xml:space="preserve">The location of the virtual ground is found given the initial configuration of the manipulator system. The position of the center of mass of each link </w:t>
      </w:r>
      <m:oMath>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i</m:t>
            </m:r>
          </m:sub>
        </m:sSub>
        <m:r>
          <m:rPr>
            <m:sty m:val="bi"/>
          </m:rPr>
          <w:rPr>
            <w:rFonts w:ascii="Cambria Math" w:hAnsi="Cambria Math"/>
          </w:rPr>
          <m:t>(t)</m:t>
        </m:r>
      </m:oMath>
      <w:r>
        <w:rPr>
          <w:rFonts w:eastAsiaTheme="minorEastAsia"/>
          <w:b/>
          <w:bCs/>
        </w:rPr>
        <w:t xml:space="preserve"> </w:t>
      </w:r>
      <w:r>
        <w:rPr>
          <w:rFonts w:eastAsiaTheme="minorEastAsia"/>
        </w:rPr>
        <w:t xml:space="preserve">is defined with respect to an inertial reference frame, which in our case is MJ2000 as extracted from the General Mission Analysis Tool (GMAT). Given our </w:t>
      </w:r>
      <w:proofErr w:type="gramStart"/>
      <w:r>
        <w:rPr>
          <w:rFonts w:eastAsiaTheme="minorEastAsia"/>
        </w:rPr>
        <w:t>2 link</w:t>
      </w:r>
      <w:proofErr w:type="gramEnd"/>
      <w:r>
        <w:rPr>
          <w:rFonts w:eastAsiaTheme="minorEastAsia"/>
        </w:rPr>
        <w:t xml:space="preserve"> spatial manipulator the total number of links in the VM will therefore be comprised of a spherical joint associated with the spacecraft degrees of freedom and he previously defined 1-DOF links. The VG will be obtained through the following formula:</w:t>
      </w:r>
    </w:p>
    <w:p w14:paraId="63D616CD" w14:textId="77777777" w:rsidR="003106C4" w:rsidRPr="00887AFB" w:rsidRDefault="00000000" w:rsidP="003106C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2</m:t>
              </m:r>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q=i</m:t>
                      </m:r>
                    </m:sub>
                    <m:sup>
                      <m:r>
                        <w:rPr>
                          <w:rFonts w:ascii="Cambria Math" w:eastAsiaTheme="minorEastAsia" w:hAnsi="Cambria Math"/>
                        </w:rPr>
                        <m:t>2</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q</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q+1</m:t>
                          </m:r>
                        </m:sub>
                      </m:sSub>
                      <m:r>
                        <w:rPr>
                          <w:rFonts w:ascii="Cambria Math" w:eastAsiaTheme="minorEastAsia" w:hAnsi="Cambria Math"/>
                        </w:rPr>
                        <m:t>(0)</m:t>
                      </m:r>
                    </m:e>
                  </m:nary>
                </m:e>
              </m:d>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TOT</m:t>
                      </m:r>
                    </m:sub>
                  </m:sSub>
                </m:den>
              </m:f>
              <m:r>
                <w:rPr>
                  <w:rFonts w:ascii="Cambria Math" w:eastAsiaTheme="minorEastAsia" w:hAnsi="Cambria Math"/>
                </w:rPr>
                <m:t xml:space="preserve"> </m:t>
              </m:r>
            </m:e>
          </m:nary>
        </m:oMath>
      </m:oMathPara>
    </w:p>
    <w:p w14:paraId="2735908A" w14:textId="77777777" w:rsidR="003106C4" w:rsidRDefault="003106C4" w:rsidP="003106C4">
      <w:pPr>
        <w:rPr>
          <w:rFonts w:eastAsiaTheme="minorEastAsia"/>
        </w:rPr>
      </w:pPr>
      <w:r>
        <w:rPr>
          <w:rFonts w:eastAsiaTheme="minorEastAsia"/>
        </w:rPr>
        <w:t xml:space="preserve">Where the subscript </w:t>
      </w:r>
      <m:oMath>
        <m:r>
          <m:rPr>
            <m:sty m:val="bi"/>
          </m:rPr>
          <w:rPr>
            <w:rFonts w:ascii="Cambria Math" w:eastAsiaTheme="minorEastAsia" w:hAnsi="Cambria Math"/>
          </w:rPr>
          <m:t>i</m:t>
        </m:r>
      </m:oMath>
      <w:r>
        <w:rPr>
          <w:rFonts w:eastAsiaTheme="minorEastAsia"/>
          <w:b/>
          <w:bCs/>
        </w:rPr>
        <w:t xml:space="preserve"> </w:t>
      </w:r>
      <w:r>
        <w:rPr>
          <w:rFonts w:eastAsiaTheme="minorEastAsia"/>
        </w:rPr>
        <w:t>is illustrative of the link considered.</w:t>
      </w:r>
    </w:p>
    <w:p w14:paraId="4CF6BE59" w14:textId="77777777" w:rsidR="003106C4" w:rsidRDefault="003106C4" w:rsidP="003106C4">
      <w:pPr>
        <w:rPr>
          <w:rFonts w:eastAsiaTheme="minorEastAsia"/>
        </w:rPr>
      </w:pPr>
      <w:r>
        <w:rPr>
          <w:rFonts w:eastAsiaTheme="minorEastAsia"/>
        </w:rPr>
        <w:t xml:space="preserve">Having calculated the position of the virtual ground we introduce the vectors </w:t>
      </w:r>
      <m:oMath>
        <m:sSub>
          <m:sSubPr>
            <m:ctrlPr>
              <w:rPr>
                <w:rFonts w:ascii="Cambria Math" w:eastAsiaTheme="minorEastAsia" w:hAnsi="Cambria Math"/>
                <w:b/>
                <w:bCs/>
                <w:i/>
              </w:rPr>
            </m:ctrlPr>
          </m:sSubPr>
          <m:e>
            <m:r>
              <m:rPr>
                <m:sty m:val="bi"/>
              </m:rPr>
              <w:rPr>
                <w:rFonts w:ascii="Cambria Math" w:eastAsiaTheme="minorEastAsia" w:hAnsi="Cambria Math"/>
              </w:rPr>
              <m:t>V</m:t>
            </m:r>
          </m:e>
          <m:sub>
            <m:r>
              <m:rPr>
                <m:sty m:val="bi"/>
              </m:rPr>
              <w:rPr>
                <w:rFonts w:ascii="Cambria Math" w:eastAsiaTheme="minorEastAsia" w:hAnsi="Cambria Math"/>
              </w:rPr>
              <m:t>i</m:t>
            </m:r>
          </m:sub>
        </m:sSub>
      </m:oMath>
      <w:r>
        <w:rPr>
          <w:rFonts w:eastAsiaTheme="minorEastAsia"/>
          <w:b/>
          <w:bCs/>
        </w:rPr>
        <w:t xml:space="preserve"> </w:t>
      </w:r>
      <w:r>
        <w:rPr>
          <w:rFonts w:eastAsiaTheme="minorEastAsia"/>
        </w:rPr>
        <w:t xml:space="preserve">which will define the position of the </w:t>
      </w:r>
      <m:oMath>
        <m:sSup>
          <m:sSupPr>
            <m:ctrlPr>
              <w:rPr>
                <w:rFonts w:ascii="Cambria Math" w:eastAsiaTheme="minorEastAsia" w:hAnsi="Cambria Math"/>
                <w:b/>
                <w:bCs/>
                <w:i/>
              </w:rPr>
            </m:ctrlPr>
          </m:sSupPr>
          <m:e>
            <m:r>
              <m:rPr>
                <m:sty m:val="bi"/>
              </m:rPr>
              <w:rPr>
                <w:rFonts w:ascii="Cambria Math" w:eastAsiaTheme="minorEastAsia" w:hAnsi="Cambria Math"/>
              </w:rPr>
              <m:t>i</m:t>
            </m:r>
          </m:e>
          <m:sup>
            <m:r>
              <m:rPr>
                <m:sty m:val="bi"/>
              </m:rPr>
              <w:rPr>
                <w:rFonts w:ascii="Cambria Math" w:eastAsiaTheme="minorEastAsia" w:hAnsi="Cambria Math"/>
              </w:rPr>
              <m:t>th</m:t>
            </m:r>
          </m:sup>
        </m:sSup>
      </m:oMath>
      <w:r>
        <w:rPr>
          <w:rFonts w:eastAsiaTheme="minorEastAsia"/>
        </w:rPr>
        <w:t xml:space="preserve"> link of the VM.</w:t>
      </w:r>
    </w:p>
    <w:p w14:paraId="30F1295C" w14:textId="77777777" w:rsidR="003106C4" w:rsidRPr="00462536" w:rsidRDefault="00000000" w:rsidP="003106C4">
      <w:pPr>
        <w:rPr>
          <w:rFonts w:eastAsiaTheme="minorEastAsia"/>
        </w:rPr>
      </w:pPr>
      <m:oMathPara>
        <m:oMath>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e>
                <m:r>
                  <w:rPr>
                    <w:rFonts w:ascii="Cambria Math" w:eastAsiaTheme="minorEastAsia" w:hAnsi="Cambria Math"/>
                  </w:rPr>
                  <m:t xml:space="preserve"> </m:t>
                </m:r>
              </m:e>
            </m:mr>
            <m:mr>
              <m:e>
                <m:sSub>
                  <m:sSubPr>
                    <m:ctrlPr>
                      <w:rPr>
                        <w:rFonts w:ascii="Cambria Math" w:eastAsiaTheme="minorEastAsia" w:hAnsi="Cambria Math"/>
                        <w:i/>
                      </w:rPr>
                    </m:ctrlPr>
                  </m:sSubPr>
                  <m:e>
                    <m:r>
                      <w:rPr>
                        <w:rFonts w:ascii="Cambria Math" w:eastAsiaTheme="minorEastAsia" w:hAnsi="Cambria Math"/>
                      </w:rPr>
                      <m:t xml:space="preserve">       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e>
              <m:e>
                <m:r>
                  <w:rPr>
                    <w:rFonts w:ascii="Cambria Math" w:eastAsiaTheme="minorEastAsia" w:hAnsi="Cambria Math"/>
                  </w:rPr>
                  <m:t>for i=1,2</m:t>
                </m:r>
              </m:e>
            </m:mr>
          </m:m>
        </m:oMath>
      </m:oMathPara>
    </w:p>
    <w:p w14:paraId="2ECC7DC6" w14:textId="77777777" w:rsidR="003106C4" w:rsidRDefault="003106C4" w:rsidP="003106C4">
      <w:pPr>
        <w:rPr>
          <w:rFonts w:eastAsiaTheme="minorEastAsia"/>
        </w:rPr>
      </w:pPr>
      <w:r>
        <w:rPr>
          <w:rFonts w:eastAsiaTheme="minorEastAsia"/>
        </w:rPr>
        <w:t>With:</w:t>
      </w:r>
    </w:p>
    <w:p w14:paraId="7601D61D" w14:textId="77777777" w:rsidR="003106C4" w:rsidRDefault="00000000" w:rsidP="003106C4">
      <w:pPr>
        <w:rPr>
          <w:rFonts w:eastAsiaTheme="minorEastAsia"/>
        </w:rPr>
      </w:pPr>
      <m:oMathPara>
        <m:oMath>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i</m:t>
                    </m:r>
                  </m:sub>
                </m:sSub>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q=0</m:t>
                    </m:r>
                  </m:sub>
                  <m:sup>
                    <m:r>
                      <w:rPr>
                        <w:rFonts w:ascii="Cambria Math" w:eastAsiaTheme="minorEastAsia" w:hAnsi="Cambria Math"/>
                      </w:rPr>
                      <m:t>i</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q</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TOT</m:t>
                            </m:r>
                          </m:sub>
                        </m:sSub>
                      </m:den>
                    </m:f>
                    <m:r>
                      <w:rPr>
                        <w:rFonts w:ascii="Cambria Math" w:eastAsiaTheme="minorEastAsia" w:hAnsi="Cambria Math"/>
                      </w:rPr>
                      <m:t xml:space="preserve">              </m:t>
                    </m:r>
                  </m:e>
                </m:nary>
              </m:e>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L</m:t>
                    </m:r>
                  </m:e>
                  <m:sub>
                    <m:r>
                      <m:rPr>
                        <m:sty m:val="bi"/>
                      </m:rPr>
                      <w:rPr>
                        <w:rFonts w:ascii="Cambria Math" w:eastAsiaTheme="minorEastAsia" w:hAnsi="Cambria Math"/>
                      </w:rPr>
                      <m:t>i</m:t>
                    </m:r>
                  </m:sub>
                </m:sSub>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q=0</m:t>
                    </m:r>
                  </m:sub>
                  <m:sup>
                    <m:r>
                      <w:rPr>
                        <w:rFonts w:ascii="Cambria Math" w:eastAsiaTheme="minorEastAsia" w:hAnsi="Cambria Math"/>
                      </w:rPr>
                      <m:t>i-1</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q</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TOT</m:t>
                            </m:r>
                          </m:sub>
                        </m:sSub>
                      </m:den>
                    </m:f>
                  </m:e>
                </m:nary>
              </m:e>
            </m:mr>
          </m:m>
        </m:oMath>
      </m:oMathPara>
    </w:p>
    <w:p w14:paraId="3F8017C9" w14:textId="77777777" w:rsidR="003106C4" w:rsidRDefault="003106C4" w:rsidP="003106C4">
      <w:pPr>
        <w:rPr>
          <w:rFonts w:eastAsiaTheme="minorEastAsia"/>
        </w:rPr>
      </w:pPr>
      <w:r>
        <w:rPr>
          <w:rFonts w:eastAsiaTheme="minorEastAsia"/>
        </w:rPr>
        <w:t xml:space="preserve">In which the vectors </w:t>
      </w:r>
      <m:oMath>
        <m:sSub>
          <m:sSubPr>
            <m:ctrlPr>
              <w:rPr>
                <w:rFonts w:ascii="Cambria Math" w:eastAsiaTheme="minorEastAsia" w:hAnsi="Cambria Math"/>
                <w:b/>
                <w:bCs/>
                <w:i/>
              </w:rPr>
            </m:ctrlPr>
          </m:sSubPr>
          <m:e>
            <m:r>
              <m:rPr>
                <m:sty m:val="bi"/>
              </m:rPr>
              <w:rPr>
                <w:rFonts w:ascii="Cambria Math" w:eastAsiaTheme="minorEastAsia" w:hAnsi="Cambria Math"/>
              </w:rPr>
              <m:t>L</m:t>
            </m:r>
          </m:e>
          <m:sub>
            <m:r>
              <m:rPr>
                <m:sty m:val="bi"/>
              </m:rPr>
              <w:rPr>
                <w:rFonts w:ascii="Cambria Math" w:eastAsiaTheme="minorEastAsia" w:hAnsi="Cambria Math"/>
              </w:rPr>
              <m:t>i</m:t>
            </m:r>
          </m:sub>
        </m:sSub>
      </m:oMath>
      <w:r>
        <w:rPr>
          <w:rFonts w:eastAsiaTheme="minorEastAsia"/>
          <w:b/>
          <w:bCs/>
        </w:rPr>
        <w:t xml:space="preserve"> </w:t>
      </w:r>
      <w:r w:rsidRPr="006F0C29">
        <w:rPr>
          <w:rFonts w:eastAsiaTheme="minorEastAsia"/>
        </w:rPr>
        <w:t xml:space="preserve">and </w:t>
      </w:r>
      <m:oMath>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i</m:t>
            </m:r>
          </m:sub>
        </m:sSub>
      </m:oMath>
      <w:r>
        <w:rPr>
          <w:rFonts w:eastAsiaTheme="minorEastAsia"/>
          <w:b/>
          <w:bCs/>
        </w:rPr>
        <w:t xml:space="preserve"> </w:t>
      </w:r>
      <w:r>
        <w:rPr>
          <w:rFonts w:eastAsiaTheme="minorEastAsia"/>
        </w:rPr>
        <w:t xml:space="preserve">are the vector identifying the center of mass and the end of link </w:t>
      </w:r>
      <m:oMath>
        <m:r>
          <m:rPr>
            <m:sty m:val="bi"/>
          </m:rPr>
          <w:rPr>
            <w:rFonts w:ascii="Cambria Math" w:eastAsiaTheme="minorEastAsia" w:hAnsi="Cambria Math"/>
          </w:rPr>
          <m:t>i</m:t>
        </m:r>
      </m:oMath>
      <w:r>
        <w:rPr>
          <w:rFonts w:eastAsiaTheme="minorEastAsia"/>
        </w:rPr>
        <w:t>.</w:t>
      </w:r>
    </w:p>
    <w:p w14:paraId="301D6099" w14:textId="77777777" w:rsidR="003106C4" w:rsidRDefault="003106C4" w:rsidP="003106C4">
      <w:pPr>
        <w:rPr>
          <w:rFonts w:eastAsiaTheme="minorEastAsia"/>
        </w:rPr>
      </w:pPr>
      <w:r>
        <w:rPr>
          <w:rFonts w:eastAsiaTheme="minorEastAsia"/>
        </w:rPr>
        <w:t>Calculated as such the VM is fully defined and its end point will coincide with the true manipulator’s end point at each instant.</w:t>
      </w:r>
    </w:p>
    <w:p w14:paraId="770CDFFC" w14:textId="47D4949A" w:rsidR="00062099" w:rsidRPr="003106C4" w:rsidRDefault="003106C4" w:rsidP="00062099">
      <w:pPr>
        <w:rPr>
          <w:rFonts w:eastAsiaTheme="minorEastAsia"/>
        </w:rPr>
      </w:pPr>
      <w:r>
        <w:rPr>
          <w:rFonts w:eastAsiaTheme="minorEastAsia"/>
        </w:rPr>
        <w:t xml:space="preserve">The trajectory of the end effector is then computed </w:t>
      </w:r>
      <w:r w:rsidR="00FD23F6">
        <w:rPr>
          <w:rFonts w:eastAsiaTheme="minorEastAsia"/>
        </w:rPr>
        <w:t>analogously to objective 3 of the Manipulator design task.</w:t>
      </w:r>
    </w:p>
    <w:p w14:paraId="43F9AC3A" w14:textId="77777777" w:rsidR="00062099" w:rsidRPr="00901DFD" w:rsidRDefault="00062099" w:rsidP="00062099">
      <w:pPr>
        <w:pStyle w:val="Titolo2"/>
      </w:pPr>
      <w:r w:rsidRPr="00901DFD">
        <w:t>Code implementation</w:t>
      </w:r>
    </w:p>
    <w:p w14:paraId="5C50F347" w14:textId="77777777" w:rsidR="00062099" w:rsidRPr="00901DFD" w:rsidRDefault="00062099" w:rsidP="00062099"/>
    <w:p w14:paraId="2891CC34" w14:textId="77777777" w:rsidR="00062099" w:rsidRPr="00901DFD" w:rsidRDefault="00062099" w:rsidP="00062099">
      <w:pPr>
        <w:pStyle w:val="Titolo2"/>
      </w:pPr>
      <w:r w:rsidRPr="00901DFD">
        <w:lastRenderedPageBreak/>
        <w:t xml:space="preserve">Results </w:t>
      </w:r>
    </w:p>
    <w:p w14:paraId="10A8B287" w14:textId="77777777" w:rsidR="00062099" w:rsidRPr="00901DFD" w:rsidRDefault="00062099" w:rsidP="00062099"/>
    <w:p w14:paraId="14789A3C" w14:textId="77777777" w:rsidR="00AD57FE" w:rsidRPr="00901DFD" w:rsidRDefault="00AD57FE" w:rsidP="00AD57FE"/>
    <w:p w14:paraId="4D8CA28C" w14:textId="2744B020" w:rsidR="00AD57FE" w:rsidRPr="00901DFD" w:rsidRDefault="00AD57FE" w:rsidP="00AD57FE"/>
    <w:p w14:paraId="1125783F" w14:textId="72E87F39" w:rsidR="00AD57FE" w:rsidRDefault="005D25D4" w:rsidP="005D25D4">
      <w:pPr>
        <w:pStyle w:val="Titolo1"/>
      </w:pPr>
      <w:r>
        <w:t>Bibliography</w:t>
      </w:r>
    </w:p>
    <w:p w14:paraId="5C65A9F0" w14:textId="43353C52" w:rsidR="003106C4" w:rsidRDefault="003106C4" w:rsidP="003106C4"/>
    <w:p w14:paraId="04D2E231" w14:textId="77777777" w:rsidR="003106C4" w:rsidRPr="00DF33F5" w:rsidRDefault="003106C4" w:rsidP="003106C4">
      <w:pPr>
        <w:rPr>
          <w:rFonts w:eastAsiaTheme="minorEastAsia"/>
        </w:rPr>
      </w:pPr>
      <w:r w:rsidRPr="00DF33F5">
        <w:rPr>
          <w:rFonts w:ascii="Arial" w:hAnsi="Arial" w:cs="Arial"/>
          <w:sz w:val="20"/>
          <w:szCs w:val="20"/>
          <w:shd w:val="clear" w:color="auto" w:fill="FFFFFF"/>
        </w:rPr>
        <w:t xml:space="preserve">[1] - Z. </w:t>
      </w:r>
      <w:proofErr w:type="spellStart"/>
      <w:r w:rsidRPr="00DF33F5">
        <w:rPr>
          <w:rFonts w:ascii="Arial" w:hAnsi="Arial" w:cs="Arial"/>
          <w:sz w:val="20"/>
          <w:szCs w:val="20"/>
          <w:shd w:val="clear" w:color="auto" w:fill="FFFFFF"/>
        </w:rPr>
        <w:t>Vafa</w:t>
      </w:r>
      <w:proofErr w:type="spellEnd"/>
      <w:r w:rsidRPr="00DF33F5">
        <w:rPr>
          <w:rFonts w:ascii="Arial" w:hAnsi="Arial" w:cs="Arial"/>
          <w:sz w:val="20"/>
          <w:szCs w:val="20"/>
          <w:shd w:val="clear" w:color="auto" w:fill="FFFFFF"/>
        </w:rPr>
        <w:t xml:space="preserve"> and S. </w:t>
      </w:r>
      <w:proofErr w:type="spellStart"/>
      <w:r w:rsidRPr="00DF33F5">
        <w:rPr>
          <w:rFonts w:ascii="Arial" w:hAnsi="Arial" w:cs="Arial"/>
          <w:sz w:val="20"/>
          <w:szCs w:val="20"/>
          <w:shd w:val="clear" w:color="auto" w:fill="FFFFFF"/>
        </w:rPr>
        <w:t>Dubowsky</w:t>
      </w:r>
      <w:proofErr w:type="spellEnd"/>
      <w:r w:rsidRPr="00DF33F5">
        <w:rPr>
          <w:rFonts w:ascii="Arial" w:hAnsi="Arial" w:cs="Arial"/>
          <w:sz w:val="20"/>
          <w:szCs w:val="20"/>
          <w:shd w:val="clear" w:color="auto" w:fill="FFFFFF"/>
        </w:rPr>
        <w:t>, "On the dynamics of manipulators in space using the virtual manipulator approach," </w:t>
      </w:r>
      <w:r w:rsidRPr="00DF33F5">
        <w:rPr>
          <w:rStyle w:val="Enfasicorsivo"/>
          <w:rFonts w:ascii="Arial" w:hAnsi="Arial" w:cs="Arial"/>
          <w:sz w:val="20"/>
          <w:szCs w:val="20"/>
          <w:shd w:val="clear" w:color="auto" w:fill="FFFFFF"/>
        </w:rPr>
        <w:t>Proceedings. 1987 IEEE International Conference on Robotics and Automation</w:t>
      </w:r>
      <w:r w:rsidRPr="00DF33F5">
        <w:rPr>
          <w:rFonts w:ascii="Arial" w:hAnsi="Arial" w:cs="Arial"/>
          <w:sz w:val="20"/>
          <w:szCs w:val="20"/>
          <w:shd w:val="clear" w:color="auto" w:fill="FFFFFF"/>
        </w:rPr>
        <w:t xml:space="preserve">, 1987, pp. 579-585, </w:t>
      </w:r>
      <w:proofErr w:type="spellStart"/>
      <w:r w:rsidRPr="00DF33F5">
        <w:rPr>
          <w:rFonts w:ascii="Arial" w:hAnsi="Arial" w:cs="Arial"/>
          <w:sz w:val="20"/>
          <w:szCs w:val="20"/>
          <w:shd w:val="clear" w:color="auto" w:fill="FFFFFF"/>
        </w:rPr>
        <w:t>doi</w:t>
      </w:r>
      <w:proofErr w:type="spellEnd"/>
      <w:r w:rsidRPr="00DF33F5">
        <w:rPr>
          <w:rFonts w:ascii="Arial" w:hAnsi="Arial" w:cs="Arial"/>
          <w:sz w:val="20"/>
          <w:szCs w:val="20"/>
          <w:shd w:val="clear" w:color="auto" w:fill="FFFFFF"/>
        </w:rPr>
        <w:t>: 10.1109/ROBOT.1987.1088032.</w:t>
      </w:r>
    </w:p>
    <w:p w14:paraId="6C57F159" w14:textId="77777777" w:rsidR="003106C4" w:rsidRPr="003106C4" w:rsidRDefault="003106C4" w:rsidP="003106C4"/>
    <w:sectPr w:rsidR="003106C4" w:rsidRPr="003106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5C7D2" w14:textId="77777777" w:rsidR="009613AC" w:rsidRDefault="009613AC" w:rsidP="009C2AE8">
      <w:pPr>
        <w:spacing w:after="0" w:line="240" w:lineRule="auto"/>
      </w:pPr>
      <w:r>
        <w:separator/>
      </w:r>
    </w:p>
  </w:endnote>
  <w:endnote w:type="continuationSeparator" w:id="0">
    <w:p w14:paraId="3B81DD45" w14:textId="77777777" w:rsidR="009613AC" w:rsidRDefault="009613AC" w:rsidP="009C2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1F623" w14:textId="77777777" w:rsidR="009613AC" w:rsidRDefault="009613AC" w:rsidP="009C2AE8">
      <w:pPr>
        <w:spacing w:after="0" w:line="240" w:lineRule="auto"/>
      </w:pPr>
      <w:r>
        <w:separator/>
      </w:r>
    </w:p>
  </w:footnote>
  <w:footnote w:type="continuationSeparator" w:id="0">
    <w:p w14:paraId="451D5CEF" w14:textId="77777777" w:rsidR="009613AC" w:rsidRDefault="009613AC" w:rsidP="009C2A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8122D"/>
    <w:multiLevelType w:val="hybridMultilevel"/>
    <w:tmpl w:val="748EF1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D2345"/>
    <w:multiLevelType w:val="multilevel"/>
    <w:tmpl w:val="0409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2" w15:restartNumberingAfterBreak="0">
    <w:nsid w:val="1FA111CA"/>
    <w:multiLevelType w:val="hybridMultilevel"/>
    <w:tmpl w:val="34B45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1644D4"/>
    <w:multiLevelType w:val="hybridMultilevel"/>
    <w:tmpl w:val="C6ECF368"/>
    <w:lvl w:ilvl="0" w:tplc="AAC002F4">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16cid:durableId="1889800977">
    <w:abstractNumId w:val="1"/>
  </w:num>
  <w:num w:numId="2" w16cid:durableId="432213470">
    <w:abstractNumId w:val="0"/>
  </w:num>
  <w:num w:numId="3" w16cid:durableId="1813254582">
    <w:abstractNumId w:val="2"/>
  </w:num>
  <w:num w:numId="4" w16cid:durableId="1280182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88E"/>
    <w:rsid w:val="00062099"/>
    <w:rsid w:val="003106C4"/>
    <w:rsid w:val="00495C44"/>
    <w:rsid w:val="004C24DC"/>
    <w:rsid w:val="005D25D4"/>
    <w:rsid w:val="005D690B"/>
    <w:rsid w:val="005E0B59"/>
    <w:rsid w:val="005E2322"/>
    <w:rsid w:val="00711BFF"/>
    <w:rsid w:val="00753EA1"/>
    <w:rsid w:val="007A5339"/>
    <w:rsid w:val="008A5636"/>
    <w:rsid w:val="00901DFD"/>
    <w:rsid w:val="009613AC"/>
    <w:rsid w:val="009C2AE8"/>
    <w:rsid w:val="00A2088E"/>
    <w:rsid w:val="00A8158A"/>
    <w:rsid w:val="00A90411"/>
    <w:rsid w:val="00AD57FE"/>
    <w:rsid w:val="00C92984"/>
    <w:rsid w:val="00CD33AF"/>
    <w:rsid w:val="00D45CF8"/>
    <w:rsid w:val="00D45D22"/>
    <w:rsid w:val="00D560BC"/>
    <w:rsid w:val="00E1265C"/>
    <w:rsid w:val="00E425C4"/>
    <w:rsid w:val="00F209A0"/>
    <w:rsid w:val="00FD2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F56CC"/>
  <w15:chartTrackingRefBased/>
  <w15:docId w15:val="{E84A2C1D-15EA-40DB-B56B-C7A615318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D57FE"/>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D57FE"/>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AD57FE"/>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AD57F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AD57F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AD57F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AD57F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AD57F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AD57F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D57FE"/>
    <w:rPr>
      <w:rFonts w:asciiTheme="majorHAnsi" w:eastAsiaTheme="majorEastAsia" w:hAnsiTheme="majorHAnsi" w:cstheme="majorBidi"/>
      <w:color w:val="2F5496" w:themeColor="accent1" w:themeShade="BF"/>
      <w:sz w:val="32"/>
      <w:szCs w:val="32"/>
      <w:lang w:val="it-IT"/>
    </w:rPr>
  </w:style>
  <w:style w:type="character" w:customStyle="1" w:styleId="Titolo2Carattere">
    <w:name w:val="Titolo 2 Carattere"/>
    <w:basedOn w:val="Carpredefinitoparagrafo"/>
    <w:link w:val="Titolo2"/>
    <w:uiPriority w:val="9"/>
    <w:rsid w:val="00AD57FE"/>
    <w:rPr>
      <w:rFonts w:asciiTheme="majorHAnsi" w:eastAsiaTheme="majorEastAsia" w:hAnsiTheme="majorHAnsi" w:cstheme="majorBidi"/>
      <w:color w:val="2F5496" w:themeColor="accent1" w:themeShade="BF"/>
      <w:sz w:val="26"/>
      <w:szCs w:val="26"/>
      <w:lang w:val="it-IT"/>
    </w:rPr>
  </w:style>
  <w:style w:type="character" w:customStyle="1" w:styleId="Titolo3Carattere">
    <w:name w:val="Titolo 3 Carattere"/>
    <w:basedOn w:val="Carpredefinitoparagrafo"/>
    <w:link w:val="Titolo3"/>
    <w:uiPriority w:val="9"/>
    <w:semiHidden/>
    <w:rsid w:val="00AD57FE"/>
    <w:rPr>
      <w:rFonts w:asciiTheme="majorHAnsi" w:eastAsiaTheme="majorEastAsia" w:hAnsiTheme="majorHAnsi" w:cstheme="majorBidi"/>
      <w:color w:val="1F3763" w:themeColor="accent1" w:themeShade="7F"/>
      <w:sz w:val="24"/>
      <w:szCs w:val="24"/>
      <w:lang w:val="it-IT"/>
    </w:rPr>
  </w:style>
  <w:style w:type="character" w:customStyle="1" w:styleId="Titolo4Carattere">
    <w:name w:val="Titolo 4 Carattere"/>
    <w:basedOn w:val="Carpredefinitoparagrafo"/>
    <w:link w:val="Titolo4"/>
    <w:uiPriority w:val="9"/>
    <w:semiHidden/>
    <w:rsid w:val="00AD57FE"/>
    <w:rPr>
      <w:rFonts w:asciiTheme="majorHAnsi" w:eastAsiaTheme="majorEastAsia" w:hAnsiTheme="majorHAnsi" w:cstheme="majorBidi"/>
      <w:i/>
      <w:iCs/>
      <w:color w:val="2F5496" w:themeColor="accent1" w:themeShade="BF"/>
      <w:lang w:val="it-IT"/>
    </w:rPr>
  </w:style>
  <w:style w:type="character" w:customStyle="1" w:styleId="Titolo5Carattere">
    <w:name w:val="Titolo 5 Carattere"/>
    <w:basedOn w:val="Carpredefinitoparagrafo"/>
    <w:link w:val="Titolo5"/>
    <w:uiPriority w:val="9"/>
    <w:semiHidden/>
    <w:rsid w:val="00AD57FE"/>
    <w:rPr>
      <w:rFonts w:asciiTheme="majorHAnsi" w:eastAsiaTheme="majorEastAsia" w:hAnsiTheme="majorHAnsi" w:cstheme="majorBidi"/>
      <w:color w:val="2F5496" w:themeColor="accent1" w:themeShade="BF"/>
      <w:lang w:val="it-IT"/>
    </w:rPr>
  </w:style>
  <w:style w:type="character" w:customStyle="1" w:styleId="Titolo6Carattere">
    <w:name w:val="Titolo 6 Carattere"/>
    <w:basedOn w:val="Carpredefinitoparagrafo"/>
    <w:link w:val="Titolo6"/>
    <w:uiPriority w:val="9"/>
    <w:semiHidden/>
    <w:rsid w:val="00AD57FE"/>
    <w:rPr>
      <w:rFonts w:asciiTheme="majorHAnsi" w:eastAsiaTheme="majorEastAsia" w:hAnsiTheme="majorHAnsi" w:cstheme="majorBidi"/>
      <w:color w:val="1F3763" w:themeColor="accent1" w:themeShade="7F"/>
      <w:lang w:val="it-IT"/>
    </w:rPr>
  </w:style>
  <w:style w:type="character" w:customStyle="1" w:styleId="Titolo7Carattere">
    <w:name w:val="Titolo 7 Carattere"/>
    <w:basedOn w:val="Carpredefinitoparagrafo"/>
    <w:link w:val="Titolo7"/>
    <w:uiPriority w:val="9"/>
    <w:semiHidden/>
    <w:rsid w:val="00AD57FE"/>
    <w:rPr>
      <w:rFonts w:asciiTheme="majorHAnsi" w:eastAsiaTheme="majorEastAsia" w:hAnsiTheme="majorHAnsi" w:cstheme="majorBidi"/>
      <w:i/>
      <w:iCs/>
      <w:color w:val="1F3763" w:themeColor="accent1" w:themeShade="7F"/>
      <w:lang w:val="it-IT"/>
    </w:rPr>
  </w:style>
  <w:style w:type="character" w:customStyle="1" w:styleId="Titolo8Carattere">
    <w:name w:val="Titolo 8 Carattere"/>
    <w:basedOn w:val="Carpredefinitoparagrafo"/>
    <w:link w:val="Titolo8"/>
    <w:uiPriority w:val="9"/>
    <w:semiHidden/>
    <w:rsid w:val="00AD57FE"/>
    <w:rPr>
      <w:rFonts w:asciiTheme="majorHAnsi" w:eastAsiaTheme="majorEastAsia" w:hAnsiTheme="majorHAnsi" w:cstheme="majorBidi"/>
      <w:color w:val="272727" w:themeColor="text1" w:themeTint="D8"/>
      <w:sz w:val="21"/>
      <w:szCs w:val="21"/>
      <w:lang w:val="it-IT"/>
    </w:rPr>
  </w:style>
  <w:style w:type="character" w:customStyle="1" w:styleId="Titolo9Carattere">
    <w:name w:val="Titolo 9 Carattere"/>
    <w:basedOn w:val="Carpredefinitoparagrafo"/>
    <w:link w:val="Titolo9"/>
    <w:uiPriority w:val="9"/>
    <w:semiHidden/>
    <w:rsid w:val="00AD57FE"/>
    <w:rPr>
      <w:rFonts w:asciiTheme="majorHAnsi" w:eastAsiaTheme="majorEastAsia" w:hAnsiTheme="majorHAnsi" w:cstheme="majorBidi"/>
      <w:i/>
      <w:iCs/>
      <w:color w:val="272727" w:themeColor="text1" w:themeTint="D8"/>
      <w:sz w:val="21"/>
      <w:szCs w:val="21"/>
      <w:lang w:val="it-IT"/>
    </w:rPr>
  </w:style>
  <w:style w:type="paragraph" w:styleId="Paragrafoelenco">
    <w:name w:val="List Paragraph"/>
    <w:basedOn w:val="Normale"/>
    <w:uiPriority w:val="34"/>
    <w:qFormat/>
    <w:rsid w:val="004C24DC"/>
    <w:pPr>
      <w:ind w:left="720"/>
      <w:contextualSpacing/>
    </w:pPr>
  </w:style>
  <w:style w:type="character" w:styleId="Enfasicorsivo">
    <w:name w:val="Emphasis"/>
    <w:basedOn w:val="Carpredefinitoparagrafo"/>
    <w:uiPriority w:val="20"/>
    <w:qFormat/>
    <w:rsid w:val="003106C4"/>
    <w:rPr>
      <w:i/>
      <w:iCs/>
    </w:rPr>
  </w:style>
  <w:style w:type="table" w:styleId="Grigliatabella">
    <w:name w:val="Table Grid"/>
    <w:basedOn w:val="Tabellanormale"/>
    <w:uiPriority w:val="39"/>
    <w:rsid w:val="00A90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semiHidden/>
    <w:rsid w:val="00A90411"/>
    <w:rPr>
      <w:color w:val="808080"/>
    </w:rPr>
  </w:style>
  <w:style w:type="paragraph" w:styleId="Intestazione">
    <w:name w:val="header"/>
    <w:basedOn w:val="Normale"/>
    <w:link w:val="IntestazioneCarattere"/>
    <w:uiPriority w:val="99"/>
    <w:unhideWhenUsed/>
    <w:rsid w:val="009C2AE8"/>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rsid w:val="009C2AE8"/>
  </w:style>
  <w:style w:type="paragraph" w:styleId="Pidipagina">
    <w:name w:val="footer"/>
    <w:basedOn w:val="Normale"/>
    <w:link w:val="PidipaginaCarattere"/>
    <w:uiPriority w:val="99"/>
    <w:unhideWhenUsed/>
    <w:rsid w:val="009C2AE8"/>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rsid w:val="009C2A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5</Pages>
  <Words>1148</Words>
  <Characters>6546</Characters>
  <Application>Microsoft Office Word</Application>
  <DocSecurity>0</DocSecurity>
  <Lines>54</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Furlani</dc:creator>
  <cp:keywords/>
  <dc:description/>
  <cp:lastModifiedBy>Fabio Argentesi</cp:lastModifiedBy>
  <cp:revision>19</cp:revision>
  <dcterms:created xsi:type="dcterms:W3CDTF">2023-01-04T16:47:00Z</dcterms:created>
  <dcterms:modified xsi:type="dcterms:W3CDTF">2023-01-09T15:15:00Z</dcterms:modified>
</cp:coreProperties>
</file>