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Heading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is capable of pointing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dual mode is fundamental in supporting the off-nadir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Heading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Heading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ListParagraph"/>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ListParagraph"/>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ListParagraph"/>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ListParagraph"/>
        <w:numPr>
          <w:ilvl w:val="0"/>
          <w:numId w:val="2"/>
        </w:numPr>
      </w:pPr>
      <w:r w:rsidRPr="00901DFD">
        <w:t xml:space="preserve"> 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ListParagraph"/>
        <w:numPr>
          <w:ilvl w:val="0"/>
          <w:numId w:val="2"/>
        </w:numPr>
      </w:pPr>
      <w:r w:rsidRPr="00901DFD">
        <w:t xml:space="preserve"> The right ascension of the ascending node Ω</w:t>
      </w:r>
    </w:p>
    <w:p w14:paraId="1316B77A" w14:textId="77777777" w:rsidR="004C24DC" w:rsidRPr="00901DFD" w:rsidRDefault="004C24DC" w:rsidP="004C24DC">
      <w:pPr>
        <w:pStyle w:val="ListParagraph"/>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ListParagraph"/>
        <w:numPr>
          <w:ilvl w:val="0"/>
          <w:numId w:val="2"/>
        </w:numPr>
      </w:pPr>
      <w:r w:rsidRPr="00901DFD">
        <w:t>(Optional) determine the time required to meet the coverage requirement</w:t>
      </w:r>
    </w:p>
    <w:p w14:paraId="3E1B222C" w14:textId="02BB3DA7" w:rsidR="00062099" w:rsidRPr="00901DFD" w:rsidRDefault="00062099" w:rsidP="00062099">
      <w:pPr>
        <w:pStyle w:val="Heading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Heading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Heading2"/>
      </w:pPr>
      <w:r w:rsidRPr="00901DFD">
        <w:t>Results</w:t>
      </w:r>
    </w:p>
    <w:p w14:paraId="10044077" w14:textId="0E29D4B3" w:rsidR="00AD57FE" w:rsidRPr="00901DFD" w:rsidRDefault="00AD57FE" w:rsidP="00AD57FE"/>
    <w:p w14:paraId="75D184BB" w14:textId="03ED868B" w:rsidR="00AD57FE" w:rsidRPr="00901DFD" w:rsidRDefault="00AD57FE" w:rsidP="00AD57FE">
      <w:pPr>
        <w:pStyle w:val="Heading1"/>
        <w:rPr>
          <w:u w:val="single"/>
        </w:rPr>
      </w:pPr>
      <w:r w:rsidRPr="00901DFD">
        <w:rPr>
          <w:u w:val="single"/>
        </w:rPr>
        <w:lastRenderedPageBreak/>
        <w:t>Manipulator design</w:t>
      </w:r>
    </w:p>
    <w:p w14:paraId="4A4F31B3" w14:textId="77777777" w:rsidR="00062099" w:rsidRPr="00901DFD" w:rsidRDefault="00062099" w:rsidP="00062099"/>
    <w:p w14:paraId="5CFEF4C6" w14:textId="5B328A80" w:rsidR="00062099" w:rsidRPr="00901DFD" w:rsidRDefault="00062099" w:rsidP="00062099">
      <w:pPr>
        <w:pStyle w:val="Heading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ListParagraph"/>
        <w:numPr>
          <w:ilvl w:val="0"/>
          <w:numId w:val="3"/>
        </w:numPr>
      </w:pPr>
      <w:r w:rsidRPr="00901DFD">
        <w:t xml:space="preserve"> Model the manipulator by using the Denavit-Hartenberg formulation. </w:t>
      </w:r>
    </w:p>
    <w:p w14:paraId="11590259" w14:textId="77777777" w:rsidR="00901DFD" w:rsidRPr="00901DFD" w:rsidRDefault="00901DFD" w:rsidP="00901DFD">
      <w:pPr>
        <w:pStyle w:val="ListParagraph"/>
        <w:numPr>
          <w:ilvl w:val="0"/>
          <w:numId w:val="3"/>
        </w:numPr>
      </w:pPr>
      <w:r w:rsidRPr="00901DFD">
        <w:t xml:space="preserve"> Determine the Jacobian and the dynamical equations. </w:t>
      </w:r>
    </w:p>
    <w:p w14:paraId="7B7A41D9" w14:textId="77777777" w:rsidR="00901DFD" w:rsidRPr="00901DFD" w:rsidRDefault="00901DFD" w:rsidP="00901DFD">
      <w:pPr>
        <w:pStyle w:val="ListParagraph"/>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ListParagraph"/>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 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Heading2"/>
      </w:pPr>
      <w:r w:rsidRPr="00901DFD">
        <w:t>Theoretical approach</w:t>
      </w:r>
    </w:p>
    <w:p w14:paraId="2C5F68FE" w14:textId="0BC45C02" w:rsidR="00062099" w:rsidRDefault="00A90411" w:rsidP="00062099">
      <w:r w:rsidRPr="00A90411">
        <w:rPr>
          <w:highlight w:val="yellow"/>
        </w:rPr>
        <w:t>Parte introduttiva</w:t>
      </w:r>
    </w:p>
    <w:p w14:paraId="6E7E5181" w14:textId="4F836AC7" w:rsidR="00A90411" w:rsidRDefault="00A90411" w:rsidP="00062099">
      <w:r>
        <w:t xml:space="preserve">The manipulator is defined via the Denavit-Hartenberg classical convention; the table XXX </w:t>
      </w:r>
      <w:r w:rsidR="006B510D">
        <w:t>summarizes</w:t>
      </w:r>
      <w:r>
        <w:t xml:space="preserve"> its characteristics.</w:t>
      </w:r>
      <w:r w:rsidR="00D45CF8">
        <w:t xml:space="preserve"> The Figure XXX schematically shows the manipulator in a generic pose with its links and rotary joints; the squared plane represents the spacecraft’s face </w:t>
      </w:r>
      <w:r w:rsidR="006B510D">
        <w:t>whose</w:t>
      </w:r>
      <w:r w:rsidR="00D45CF8">
        <w:t xml:space="preserve"> normal is aligned with the orbit’s one.</w:t>
      </w:r>
    </w:p>
    <w:tbl>
      <w:tblPr>
        <w:tblStyle w:val="TableGrid"/>
        <w:tblW w:w="0" w:type="auto"/>
        <w:tblLook w:val="04A0" w:firstRow="1" w:lastRow="0" w:firstColumn="1" w:lastColumn="0" w:noHBand="0" w:noVBand="1"/>
      </w:tblPr>
      <w:tblGrid>
        <w:gridCol w:w="1870"/>
        <w:gridCol w:w="1870"/>
        <w:gridCol w:w="1870"/>
        <w:gridCol w:w="1870"/>
        <w:gridCol w:w="1870"/>
      </w:tblGrid>
      <w:tr w:rsidR="00A90411" w14:paraId="7569C151" w14:textId="77777777" w:rsidTr="00A90411">
        <w:tc>
          <w:tcPr>
            <w:tcW w:w="1870" w:type="dxa"/>
            <w:vAlign w:val="center"/>
          </w:tcPr>
          <w:p w14:paraId="4B8C4208" w14:textId="3F60143A" w:rsidR="00A90411" w:rsidRDefault="00A90411" w:rsidP="00A90411">
            <w:pPr>
              <w:jc w:val="center"/>
            </w:pPr>
            <w:r>
              <w:t>DH Table</w:t>
            </w:r>
          </w:p>
        </w:tc>
        <w:tc>
          <w:tcPr>
            <w:tcW w:w="1870" w:type="dxa"/>
            <w:vAlign w:val="center"/>
          </w:tcPr>
          <w:p w14:paraId="5ECDF97B" w14:textId="23D45A00" w:rsidR="00A90411" w:rsidRDefault="00A90411" w:rsidP="00A90411">
            <w:pPr>
              <w:jc w:val="center"/>
            </w:pPr>
            <m:oMathPara>
              <m:oMath>
                <m:r>
                  <w:rPr>
                    <w:rFonts w:ascii="Cambria Math" w:hAnsi="Cambria Math"/>
                  </w:rPr>
                  <m:t>α</m:t>
                </m:r>
              </m:oMath>
            </m:oMathPara>
          </w:p>
        </w:tc>
        <w:tc>
          <w:tcPr>
            <w:tcW w:w="1870" w:type="dxa"/>
            <w:vAlign w:val="center"/>
          </w:tcPr>
          <w:p w14:paraId="1EE8D5F4" w14:textId="76944C6B" w:rsidR="00A90411" w:rsidRDefault="00A90411" w:rsidP="00A90411">
            <w:pPr>
              <w:jc w:val="center"/>
            </w:pPr>
            <w:r>
              <w:t>a</w:t>
            </w:r>
          </w:p>
        </w:tc>
        <w:tc>
          <w:tcPr>
            <w:tcW w:w="1870" w:type="dxa"/>
            <w:vAlign w:val="center"/>
          </w:tcPr>
          <w:p w14:paraId="6564A530" w14:textId="3244A41A" w:rsidR="00A90411" w:rsidRDefault="00A90411" w:rsidP="00A90411">
            <w:pPr>
              <w:jc w:val="center"/>
            </w:pPr>
            <w:r>
              <w:t>d</w:t>
            </w:r>
          </w:p>
        </w:tc>
        <w:tc>
          <w:tcPr>
            <w:tcW w:w="1870" w:type="dxa"/>
            <w:vAlign w:val="center"/>
          </w:tcPr>
          <w:p w14:paraId="61222170" w14:textId="175E5201" w:rsidR="00A90411" w:rsidRDefault="00A90411" w:rsidP="00A90411">
            <w:pPr>
              <w:jc w:val="center"/>
            </w:pPr>
            <m:oMathPara>
              <m:oMath>
                <m:r>
                  <w:rPr>
                    <w:rFonts w:ascii="Cambria Math" w:hAnsi="Cambria Math"/>
                  </w:rPr>
                  <m:t>θ</m:t>
                </m:r>
              </m:oMath>
            </m:oMathPara>
          </w:p>
        </w:tc>
      </w:tr>
      <w:tr w:rsidR="00A90411" w14:paraId="37A6638D" w14:textId="77777777" w:rsidTr="00A90411">
        <w:tc>
          <w:tcPr>
            <w:tcW w:w="1870" w:type="dxa"/>
            <w:vAlign w:val="center"/>
          </w:tcPr>
          <w:p w14:paraId="752A3563" w14:textId="2DD08919" w:rsidR="00A90411" w:rsidRDefault="00A90411" w:rsidP="00A90411">
            <w:pPr>
              <w:jc w:val="center"/>
            </w:pPr>
            <w:r>
              <w:t>Link 1</w:t>
            </w:r>
          </w:p>
        </w:tc>
        <w:tc>
          <w:tcPr>
            <w:tcW w:w="1870" w:type="dxa"/>
            <w:vAlign w:val="center"/>
          </w:tcPr>
          <w:p w14:paraId="6F4F05A2" w14:textId="13B677CE" w:rsidR="00A90411" w:rsidRDefault="00000000" w:rsidP="00A90411">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1870" w:type="dxa"/>
            <w:vAlign w:val="center"/>
          </w:tcPr>
          <w:p w14:paraId="4597FCA1" w14:textId="00C673A0" w:rsidR="00A90411" w:rsidRDefault="00A90411" w:rsidP="00A90411">
            <w:pPr>
              <w:jc w:val="center"/>
            </w:pPr>
            <m:oMathPara>
              <m:oMath>
                <m:r>
                  <w:rPr>
                    <w:rFonts w:ascii="Cambria Math" w:eastAsiaTheme="minorEastAsia" w:hAnsi="Cambria Math"/>
                  </w:rPr>
                  <m:t>0</m:t>
                </m:r>
              </m:oMath>
            </m:oMathPara>
          </w:p>
        </w:tc>
        <w:tc>
          <w:tcPr>
            <w:tcW w:w="1870" w:type="dxa"/>
            <w:vAlign w:val="center"/>
          </w:tcPr>
          <w:p w14:paraId="72C3922A" w14:textId="3166F73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c>
        <w:tc>
          <w:tcPr>
            <w:tcW w:w="1870" w:type="dxa"/>
            <w:vAlign w:val="center"/>
          </w:tcPr>
          <w:p w14:paraId="53CB41C1" w14:textId="5AD44304"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r>
      <w:tr w:rsidR="00A90411" w14:paraId="7CE30A62" w14:textId="77777777" w:rsidTr="00A90411">
        <w:tc>
          <w:tcPr>
            <w:tcW w:w="1870" w:type="dxa"/>
            <w:vAlign w:val="center"/>
          </w:tcPr>
          <w:p w14:paraId="0545FB48" w14:textId="4611E03A" w:rsidR="00A90411" w:rsidRDefault="00A90411" w:rsidP="00A90411">
            <w:pPr>
              <w:jc w:val="center"/>
            </w:pPr>
            <w:r>
              <w:t>Link 2</w:t>
            </w:r>
          </w:p>
        </w:tc>
        <w:tc>
          <w:tcPr>
            <w:tcW w:w="1870" w:type="dxa"/>
            <w:vAlign w:val="center"/>
          </w:tcPr>
          <w:p w14:paraId="68C5B193" w14:textId="4014A4F1" w:rsidR="00A90411" w:rsidRDefault="00A90411" w:rsidP="00A90411">
            <w:pPr>
              <w:jc w:val="center"/>
            </w:pPr>
            <m:oMathPara>
              <m:oMath>
                <m:r>
                  <w:rPr>
                    <w:rFonts w:ascii="Cambria Math" w:hAnsi="Cambria Math"/>
                  </w:rPr>
                  <m:t>0</m:t>
                </m:r>
              </m:oMath>
            </m:oMathPara>
          </w:p>
        </w:tc>
        <w:tc>
          <w:tcPr>
            <w:tcW w:w="1870" w:type="dxa"/>
            <w:vAlign w:val="center"/>
          </w:tcPr>
          <w:p w14:paraId="033A4BFE" w14:textId="5C20F27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1870" w:type="dxa"/>
            <w:vAlign w:val="center"/>
          </w:tcPr>
          <w:p w14:paraId="6E81FEDA" w14:textId="2F64EAA2" w:rsidR="00A90411" w:rsidRDefault="00A90411" w:rsidP="00A90411">
            <w:pPr>
              <w:jc w:val="center"/>
            </w:pPr>
            <m:oMathPara>
              <m:oMath>
                <m:r>
                  <w:rPr>
                    <w:rFonts w:ascii="Cambria Math" w:hAnsi="Cambria Math"/>
                  </w:rPr>
                  <m:t>0</m:t>
                </m:r>
              </m:oMath>
            </m:oMathPara>
          </w:p>
        </w:tc>
        <w:tc>
          <w:tcPr>
            <w:tcW w:w="1870" w:type="dxa"/>
            <w:vAlign w:val="center"/>
          </w:tcPr>
          <w:p w14:paraId="0C1AD827" w14:textId="54B90628"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r>
    </w:tbl>
    <w:p w14:paraId="6F953F82" w14:textId="4745FDD2" w:rsidR="00A90411" w:rsidRDefault="00A90411" w:rsidP="00062099"/>
    <w:p w14:paraId="6327355B" w14:textId="1D2D69D8" w:rsidR="00D45CF8" w:rsidRDefault="00D45CF8" w:rsidP="00062099">
      <w:r>
        <w:rPr>
          <w:noProof/>
        </w:rPr>
        <w:drawing>
          <wp:inline distT="0" distB="0" distL="0" distR="0" wp14:anchorId="71C55364" wp14:editId="7F74CF05">
            <wp:extent cx="1965960" cy="1973761"/>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7" cstate="print">
                      <a:extLst>
                        <a:ext uri="{28A0092B-C50C-407E-A947-70E740481C1C}">
                          <a14:useLocalDpi xmlns:a14="http://schemas.microsoft.com/office/drawing/2010/main" val="0"/>
                        </a:ext>
                      </a:extLst>
                    </a:blip>
                    <a:srcRect l="33163" t="4383" r="23761" b="6904"/>
                    <a:stretch/>
                  </pic:blipFill>
                  <pic:spPr bwMode="auto">
                    <a:xfrm>
                      <a:off x="0" y="0"/>
                      <a:ext cx="1970107" cy="1977924"/>
                    </a:xfrm>
                    <a:prstGeom prst="rect">
                      <a:avLst/>
                    </a:prstGeom>
                    <a:ln>
                      <a:noFill/>
                    </a:ln>
                    <a:extLst>
                      <a:ext uri="{53640926-AAD7-44D8-BBD7-CCE9431645EC}">
                        <a14:shadowObscured xmlns:a14="http://schemas.microsoft.com/office/drawing/2010/main"/>
                      </a:ext>
                    </a:extLst>
                  </pic:spPr>
                </pic:pic>
              </a:graphicData>
            </a:graphic>
          </wp:inline>
        </w:drawing>
      </w:r>
    </w:p>
    <w:p w14:paraId="72423E0F" w14:textId="1CF6C1D9" w:rsidR="009C2AE8" w:rsidRDefault="009C2AE8" w:rsidP="00062099">
      <w:r>
        <w:lastRenderedPageBreak/>
        <w:t xml:space="preserve">Considering the spacecraft’s central body like a cube of </w:t>
      </w:r>
      <w:r w:rsidR="00BA6F47">
        <w:t xml:space="preserve">side </w:t>
      </w:r>
      <w:r w:rsidRPr="008A5636">
        <w:t xml:space="preserve">length </w:t>
      </w:r>
      <w:r w:rsidR="008A5636" w:rsidRPr="008A5636">
        <w:t>L = 1</w:t>
      </w:r>
      <w:r w:rsidRPr="008A5636">
        <w:t xml:space="preserve"> m</w:t>
      </w:r>
      <w:r>
        <w:t>, the Transformation matrix from the LVLH to the base frame can be defined as shown in eq. XXX</w:t>
      </w:r>
      <w:r w:rsidR="00753EA1">
        <w:t xml:space="preserve">. The LVLH frame (Local Vertical Local Horizontal) is located at the </w:t>
      </w:r>
      <w:r w:rsidR="005E0B59">
        <w:t>cube’s center with the z-axis pointing towards the planet, the y axis parallel to the spacecraft velocity and the x-axis to get a right-handed triad.</w:t>
      </w:r>
      <w:r w:rsidR="00CD33AF">
        <w:t xml:space="preserve"> </w:t>
      </w:r>
      <w:r w:rsidR="00CD33AF" w:rsidRPr="008A5636">
        <w:t>The base frame i</w:t>
      </w:r>
      <w:r w:rsidR="008A5636">
        <w:t xml:space="preserve">s located at the center of the spacecraft face </w:t>
      </w:r>
      <w:r w:rsidR="00702EBB">
        <w:t>where</w:t>
      </w:r>
      <w:r w:rsidR="00F209A0">
        <w:t xml:space="preserve"> the manipulator </w:t>
      </w:r>
      <w:r w:rsidR="00702EBB">
        <w:t xml:space="preserve">is mounted </w:t>
      </w:r>
      <w:r w:rsidR="00F209A0">
        <w:t>with the x and y axis lying on it while the z axis is parallel and agree</w:t>
      </w:r>
      <w:r w:rsidR="00702EBB">
        <w:t>(?)</w:t>
      </w:r>
      <w:r w:rsidR="00F209A0">
        <w:t xml:space="preserve"> to the first joint rotation axis. The figure XXX shows the s/c with the LVLH and Base frames attached on it. </w:t>
      </w:r>
      <w:r w:rsidR="005E0B59">
        <w:t xml:space="preserve"> </w:t>
      </w:r>
    </w:p>
    <w:p w14:paraId="00FB63B3" w14:textId="4683BE78" w:rsidR="009C2AE8" w:rsidRPr="00753EA1" w:rsidRDefault="00000000" w:rsidP="00062099">
      <w:pPr>
        <w:rPr>
          <w:rFonts w:eastAsiaTheme="minorEastAsia"/>
        </w:rPr>
      </w:pPr>
      <m:oMathPara>
        <m:oMath>
          <m:sPre>
            <m:sPrePr>
              <m:ctrlPr>
                <w:rPr>
                  <w:rFonts w:ascii="Cambria Math" w:hAnsi="Cambria Math"/>
                  <w:i/>
                </w:rPr>
              </m:ctrlPr>
            </m:sPrePr>
            <m:sub>
              <m:r>
                <w:rPr>
                  <w:rFonts w:ascii="Cambria Math" w:hAnsi="Cambria Math"/>
                </w:rPr>
                <m:t>LVLH</m:t>
              </m:r>
            </m:sub>
            <m:sup>
              <m:r>
                <w:rPr>
                  <w:rFonts w:ascii="Cambria Math" w:hAnsi="Cambria Math"/>
                </w:rPr>
                <m:t>B</m:t>
              </m:r>
            </m:sup>
            <m:e>
              <m:r>
                <w:rPr>
                  <w:rFonts w:ascii="Cambria Math" w:hAnsi="Cambria Math"/>
                </w:rPr>
                <m:t>T</m:t>
              </m:r>
            </m:e>
          </m:sPr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oMath>
      </m:oMathPara>
    </w:p>
    <w:p w14:paraId="472EDE6E" w14:textId="1D591EDF" w:rsidR="00753EA1" w:rsidRDefault="00CD33AF" w:rsidP="00062099">
      <w:r>
        <w:rPr>
          <w:noProof/>
        </w:rPr>
        <w:drawing>
          <wp:inline distT="0" distB="0" distL="0" distR="0" wp14:anchorId="1E0F39F8" wp14:editId="7EDF5F20">
            <wp:extent cx="2834640" cy="219964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cstate="print">
                      <a:extLst>
                        <a:ext uri="{28A0092B-C50C-407E-A947-70E740481C1C}">
                          <a14:useLocalDpi xmlns:a14="http://schemas.microsoft.com/office/drawing/2010/main" val="0"/>
                        </a:ext>
                      </a:extLst>
                    </a:blip>
                    <a:srcRect l="41965" t="20969" r="10342" b="13238"/>
                    <a:stretch/>
                  </pic:blipFill>
                  <pic:spPr bwMode="auto">
                    <a:xfrm>
                      <a:off x="0" y="0"/>
                      <a:ext cx="2834640" cy="2199640"/>
                    </a:xfrm>
                    <a:prstGeom prst="rect">
                      <a:avLst/>
                    </a:prstGeom>
                    <a:ln>
                      <a:noFill/>
                    </a:ln>
                    <a:extLst>
                      <a:ext uri="{53640926-AAD7-44D8-BBD7-CCE9431645EC}">
                        <a14:shadowObscured xmlns:a14="http://schemas.microsoft.com/office/drawing/2010/main"/>
                      </a:ext>
                    </a:extLst>
                  </pic:spPr>
                </pic:pic>
              </a:graphicData>
            </a:graphic>
          </wp:inline>
        </w:drawing>
      </w:r>
    </w:p>
    <w:p w14:paraId="7F021E7C" w14:textId="71EF0A1C" w:rsidR="00F209A0" w:rsidRPr="00F209A0" w:rsidRDefault="00F209A0" w:rsidP="00062099">
      <w:pPr>
        <w:rPr>
          <w:lang w:val="it-IT"/>
        </w:rPr>
      </w:pPr>
      <w:r>
        <w:t xml:space="preserve">The rotation of 45 deg around the z axis is due to… </w:t>
      </w:r>
      <w:r w:rsidRPr="005D690B">
        <w:rPr>
          <w:highlight w:val="yellow"/>
          <w:lang w:val="it-IT"/>
        </w:rPr>
        <w:t>{famose spiega da Adriano il perché (ha a che fare con le singolarità)}</w:t>
      </w:r>
    </w:p>
    <w:p w14:paraId="6750B2FC" w14:textId="6266891E" w:rsidR="00062099" w:rsidRPr="00901DFD" w:rsidRDefault="00062099" w:rsidP="00062099">
      <w:pPr>
        <w:pStyle w:val="Heading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Heading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Heading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Heading2"/>
      </w:pPr>
      <w:r w:rsidRPr="00901DFD">
        <w:t>Objective</w:t>
      </w:r>
    </w:p>
    <w:p w14:paraId="3096FB60" w14:textId="77777777" w:rsidR="00E425C4" w:rsidRDefault="00E425C4" w:rsidP="00062099">
      <w:r>
        <w:t>Assuming that the AOCS subsystem does not compensate the torques generated by the manipulator links:</w:t>
      </w:r>
    </w:p>
    <w:p w14:paraId="45B15DFA" w14:textId="77777777" w:rsidR="00E425C4" w:rsidRDefault="00E425C4" w:rsidP="00E425C4">
      <w:pPr>
        <w:pStyle w:val="ListParagraph"/>
        <w:numPr>
          <w:ilvl w:val="0"/>
          <w:numId w:val="4"/>
        </w:numPr>
      </w:pPr>
      <w:r>
        <w:t xml:space="preserve"> Model the virtual manipulator by assuming a spacecraft mass m = 500 kg.</w:t>
      </w:r>
    </w:p>
    <w:p w14:paraId="2E55C893" w14:textId="53018A22" w:rsidR="00062099" w:rsidRPr="00901DFD" w:rsidRDefault="00E425C4" w:rsidP="00E425C4">
      <w:pPr>
        <w:pStyle w:val="ListParagraph"/>
        <w:numPr>
          <w:ilvl w:val="0"/>
          <w:numId w:val="4"/>
        </w:numPr>
      </w:pPr>
      <w:r>
        <w:t xml:space="preserve"> Determine the trajectory of the end-effector for the virtual manipulator.</w:t>
      </w:r>
    </w:p>
    <w:p w14:paraId="23971BA9" w14:textId="77777777" w:rsidR="00062099" w:rsidRPr="00901DFD" w:rsidRDefault="00062099" w:rsidP="00062099">
      <w:pPr>
        <w:pStyle w:val="Heading2"/>
      </w:pPr>
      <w:r w:rsidRPr="00901DFD">
        <w:t>Theoretical approach</w:t>
      </w:r>
    </w:p>
    <w:p w14:paraId="79AACDDA" w14:textId="198357AB" w:rsidR="003106C4" w:rsidRPr="007C12F0" w:rsidRDefault="003106C4" w:rsidP="003106C4">
      <w:r w:rsidRPr="007C12F0">
        <w:t>The method, originally proposed by Vafa and Dubowsky</w:t>
      </w:r>
      <w:r w:rsidR="00D560BC">
        <w:rPr>
          <w:vertAlign w:val="superscript"/>
        </w:rPr>
        <w:t>[1]</w:t>
      </w:r>
      <w:r w:rsidRPr="007C12F0">
        <w:t xml:space="preserve">, introduces the concept of a "Virtual Manipulator" for the modelling of manipulators working in space. It is shown that the implementation of a virtual manipulator and a virtual ground can facilitate the planning and control of the actual </w:t>
      </w:r>
      <w:r w:rsidRPr="007C12F0">
        <w:lastRenderedPageBreak/>
        <w:t>manipulator mounted on the spacecraft while simultaneously minimizing the degrading consequences of manipulator/vehicle dynamic interactions.</w:t>
      </w:r>
    </w:p>
    <w:p w14:paraId="28A81CC2" w14:textId="77777777" w:rsidR="003106C4" w:rsidRDefault="003106C4" w:rsidP="003106C4">
      <w:r w:rsidRPr="007C12F0">
        <w:t xml:space="preserve">The virtual ground is an imaginary point, fixed in inertial space, defined as the center of mass of the whole system. If the spacecraft is unaffected by external forces (such as reaction wheels or ACS jets) the position of the virtual ground will remain unchanged in </w:t>
      </w:r>
      <w:r>
        <w:t>inertial</w:t>
      </w:r>
      <w:r w:rsidRPr="007C12F0">
        <w:t xml:space="preserve"> space. Analogously, internal forces given by joint torques or forces will also not move the position of the VG. As such the virtual manipulator is shown[] to have exploitable properties which enables us to </w:t>
      </w:r>
      <w:r>
        <w:t>model</w:t>
      </w:r>
      <w:r w:rsidRPr="007C12F0">
        <w:t xml:space="preserve"> the kinematic and dynamic motion of the free-floating manipulator system by utilizing the simpler virtual manipulator which has a fixed base in </w:t>
      </w:r>
      <w:r>
        <w:t>inertial</w:t>
      </w:r>
      <w:r w:rsidRPr="007C12F0">
        <w:t xml:space="preserve"> space.</w:t>
      </w:r>
    </w:p>
    <w:p w14:paraId="5463FBFE" w14:textId="77777777" w:rsidR="003106C4" w:rsidRDefault="003106C4" w:rsidP="003106C4">
      <w:r>
        <w:t xml:space="preserve">In the virtual space, the manipulator gains degrees of freedom related to the position and attitude of the spacecraft. Our system will therefore have 6 + 2 DOF. </w:t>
      </w:r>
    </w:p>
    <w:p w14:paraId="1AC71DFC" w14:textId="77777777" w:rsidR="003106C4" w:rsidRDefault="003106C4" w:rsidP="003106C4">
      <w:pPr>
        <w:rPr>
          <w:rFonts w:eastAsiaTheme="minorEastAsia"/>
        </w:rPr>
      </w:pPr>
      <w:r>
        <w:t xml:space="preserve">The location of the virtual ground is found given the initial configuration of the manipulator system. The position of the center of mass of each link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(t)</m:t>
        </m:r>
      </m:oMath>
      <w:r>
        <w:rPr>
          <w:rFonts w:eastAsiaTheme="minorEastAsia"/>
          <w:b/>
          <w:bCs/>
        </w:rPr>
        <w:t xml:space="preserve"> </w:t>
      </w:r>
      <w:r>
        <w:rPr>
          <w:rFonts w:eastAsiaTheme="minorEastAsia"/>
        </w:rPr>
        <w:t>is defined with respect to an inertial reference frame, which in our case is MJ2000 as extracted from the General Mission Analysis Tool (GMAT). Given our 2 link spatial manipulator the total number of links in the VM will therefore be comprised of a spherical joint associated with the spacecraft degrees of freedom and he previously defined 1-DOF links. The VG will be obtained through the following formula:</w:t>
      </w:r>
    </w:p>
    <w:p w14:paraId="2F171014" w14:textId="09E90624" w:rsidR="001317E6" w:rsidRPr="00887AFB" w:rsidRDefault="00000000" w:rsidP="00310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q=i</m:t>
                      </m:r>
                    </m:sub>
                    <m:sup>
                      <m:r>
                        <w:rPr>
                          <w:rFonts w:ascii="Cambria Math" w:eastAsiaTheme="minorEastAsia" w:hAnsi="Cambria Math"/>
                        </w:rPr>
                        <m:t>2</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q+1</m:t>
                          </m:r>
                        </m:sub>
                      </m:sSub>
                      <m:r>
                        <w:rPr>
                          <w:rFonts w:ascii="Cambria Math" w:eastAsiaTheme="minorEastAsia" w:hAnsi="Cambria Math"/>
                        </w:rPr>
                        <m:t>(0)</m:t>
                      </m:r>
                    </m:e>
                  </m:nary>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oMath>
      </m:oMathPara>
    </w:p>
    <w:p w14:paraId="2735908A" w14:textId="77777777" w:rsidR="003106C4" w:rsidRDefault="003106C4" w:rsidP="003106C4">
      <w:pPr>
        <w:rPr>
          <w:rFonts w:eastAsiaTheme="minorEastAsia"/>
        </w:rPr>
      </w:pPr>
      <w:r>
        <w:rPr>
          <w:rFonts w:eastAsiaTheme="minorEastAsia"/>
        </w:rPr>
        <w:t xml:space="preserve">Where the subscript </w:t>
      </w:r>
      <m:oMath>
        <m:r>
          <m:rPr>
            <m:sty m:val="bi"/>
          </m:rPr>
          <w:rPr>
            <w:rFonts w:ascii="Cambria Math" w:eastAsiaTheme="minorEastAsia" w:hAnsi="Cambria Math"/>
          </w:rPr>
          <m:t>i</m:t>
        </m:r>
      </m:oMath>
      <w:r>
        <w:rPr>
          <w:rFonts w:eastAsiaTheme="minorEastAsia"/>
          <w:b/>
          <w:bCs/>
        </w:rPr>
        <w:t xml:space="preserve"> </w:t>
      </w:r>
      <w:r>
        <w:rPr>
          <w:rFonts w:eastAsiaTheme="minorEastAsia"/>
        </w:rPr>
        <w:t>is illustrative of the link considered.</w:t>
      </w:r>
    </w:p>
    <w:p w14:paraId="4CF6BE59" w14:textId="77777777" w:rsidR="003106C4" w:rsidRDefault="003106C4" w:rsidP="003106C4">
      <w:pPr>
        <w:rPr>
          <w:rFonts w:eastAsiaTheme="minorEastAsia"/>
        </w:rPr>
      </w:pPr>
      <w:r>
        <w:rPr>
          <w:rFonts w:eastAsiaTheme="minorEastAsia"/>
        </w:rPr>
        <w:t xml:space="preserve">Having calculated the position of the virtual ground we introduce the vectors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which will define the position of the </w:t>
      </w:r>
      <m:oMath>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Pr>
          <w:rFonts w:eastAsiaTheme="minorEastAsia"/>
        </w:rPr>
        <w:t xml:space="preserve"> link of the VM.</w:t>
      </w:r>
    </w:p>
    <w:p w14:paraId="30F1295C" w14:textId="77777777" w:rsidR="003106C4" w:rsidRPr="00462536"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e>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e>
                <m:r>
                  <w:rPr>
                    <w:rFonts w:ascii="Cambria Math" w:eastAsiaTheme="minorEastAsia" w:hAnsi="Cambria Math"/>
                  </w:rPr>
                  <m:t>for i=1,2</m:t>
                </m:r>
              </m:e>
            </m:mr>
          </m:m>
        </m:oMath>
      </m:oMathPara>
    </w:p>
    <w:p w14:paraId="2ECC7DC6" w14:textId="576DAB73" w:rsidR="003106C4" w:rsidRDefault="003106C4" w:rsidP="003106C4">
      <w:pPr>
        <w:rPr>
          <w:rFonts w:eastAsiaTheme="minorEastAsia"/>
        </w:rPr>
      </w:pPr>
      <w:r>
        <w:rPr>
          <w:rFonts w:eastAsiaTheme="minorEastAsia"/>
        </w:rPr>
        <w:t>With:</w:t>
      </w:r>
    </w:p>
    <w:p w14:paraId="47A39F44" w14:textId="7CAA7161" w:rsidR="004D2E88"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e>
                </m:nary>
              </m:e>
            </m:mr>
          </m:m>
        </m:oMath>
      </m:oMathPara>
    </w:p>
    <w:p w14:paraId="3F8017C9" w14:textId="77777777" w:rsidR="003106C4" w:rsidRDefault="003106C4" w:rsidP="003106C4">
      <w:pPr>
        <w:rPr>
          <w:rFonts w:eastAsiaTheme="minorEastAsia"/>
        </w:rPr>
      </w:pPr>
      <w:r>
        <w:rPr>
          <w:rFonts w:eastAsiaTheme="minorEastAsia"/>
        </w:rPr>
        <w:t xml:space="preserve">In which the vectors </w:t>
      </w: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oMath>
      <w:r>
        <w:rPr>
          <w:rFonts w:eastAsiaTheme="minorEastAsia"/>
          <w:b/>
          <w:bCs/>
        </w:rPr>
        <w:t xml:space="preserve"> </w:t>
      </w:r>
      <w:r w:rsidRPr="006F0C29">
        <w:rPr>
          <w:rFonts w:eastAsiaTheme="minorEastAsia"/>
        </w:rPr>
        <w:t xml:space="preserve">and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are the vector identifying the center of mass and the end of link </w:t>
      </w:r>
      <m:oMath>
        <m:r>
          <m:rPr>
            <m:sty m:val="bi"/>
          </m:rPr>
          <w:rPr>
            <w:rFonts w:ascii="Cambria Math" w:eastAsiaTheme="minorEastAsia" w:hAnsi="Cambria Math"/>
          </w:rPr>
          <m:t>i</m:t>
        </m:r>
      </m:oMath>
      <w:r>
        <w:rPr>
          <w:rFonts w:eastAsiaTheme="minorEastAsia"/>
        </w:rPr>
        <w:t>.</w:t>
      </w:r>
    </w:p>
    <w:p w14:paraId="301D6099" w14:textId="77777777" w:rsidR="003106C4" w:rsidRDefault="003106C4" w:rsidP="003106C4">
      <w:pPr>
        <w:rPr>
          <w:rFonts w:eastAsiaTheme="minorEastAsia"/>
        </w:rPr>
      </w:pPr>
      <w:r>
        <w:rPr>
          <w:rFonts w:eastAsiaTheme="minorEastAsia"/>
        </w:rPr>
        <w:t>Calculated as such the VM is fully defined and its end point will coincide with the true manipulator’s end point at each instant.</w:t>
      </w:r>
    </w:p>
    <w:p w14:paraId="27509EB1" w14:textId="76A7FDE0" w:rsidR="00CE4358" w:rsidRPr="00CE4358" w:rsidRDefault="003106C4" w:rsidP="00CE4358">
      <w:pPr>
        <w:rPr>
          <w:rFonts w:eastAsiaTheme="minorEastAsia"/>
        </w:rPr>
      </w:pPr>
      <w:r>
        <w:rPr>
          <w:rFonts w:eastAsiaTheme="minorEastAsia"/>
        </w:rPr>
        <w:t xml:space="preserve">The trajectory of the end effector is then computed </w:t>
      </w:r>
      <w:r w:rsidR="00FD23F6">
        <w:rPr>
          <w:rFonts w:eastAsiaTheme="minorEastAsia"/>
        </w:rPr>
        <w:t>analogously to objective 3 of the Manipulator design task.</w:t>
      </w:r>
    </w:p>
    <w:p w14:paraId="43F9AC3A" w14:textId="77777777" w:rsidR="00062099" w:rsidRPr="00901DFD" w:rsidRDefault="00062099" w:rsidP="00062099">
      <w:pPr>
        <w:pStyle w:val="Heading2"/>
      </w:pPr>
      <w:r w:rsidRPr="00901DFD">
        <w:t>Code implementation</w:t>
      </w:r>
    </w:p>
    <w:p w14:paraId="5C50F347" w14:textId="77777777" w:rsidR="00062099" w:rsidRPr="00901DFD" w:rsidRDefault="00062099" w:rsidP="00062099"/>
    <w:p w14:paraId="2891CC34" w14:textId="3C59A364" w:rsidR="00062099" w:rsidRDefault="00062099" w:rsidP="00062099">
      <w:pPr>
        <w:pStyle w:val="Heading2"/>
      </w:pPr>
      <w:r w:rsidRPr="00901DFD">
        <w:lastRenderedPageBreak/>
        <w:t xml:space="preserve">Results </w:t>
      </w:r>
    </w:p>
    <w:p w14:paraId="55DE157C" w14:textId="784ADCA4" w:rsidR="0079586F" w:rsidRDefault="0079586F" w:rsidP="0079586F"/>
    <w:p w14:paraId="6AFF68ED" w14:textId="49DF0125" w:rsidR="0079586F" w:rsidRPr="0079586F" w:rsidRDefault="0060539E" w:rsidP="0079586F">
      <w:r>
        <w:rPr>
          <w:noProof/>
        </w:rPr>
        <w:drawing>
          <wp:anchor distT="0" distB="0" distL="114300" distR="114300" simplePos="0" relativeHeight="251661312" behindDoc="0" locked="0" layoutInCell="1" allowOverlap="1" wp14:anchorId="2FC91DC7" wp14:editId="62902E64">
            <wp:simplePos x="0" y="0"/>
            <wp:positionH relativeFrom="margin">
              <wp:posOffset>3649133</wp:posOffset>
            </wp:positionH>
            <wp:positionV relativeFrom="paragraph">
              <wp:posOffset>589068</wp:posOffset>
            </wp:positionV>
            <wp:extent cx="2209800" cy="171831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0399" t="573" r="2422" b="53266"/>
                    <a:stretch/>
                  </pic:blipFill>
                  <pic:spPr bwMode="auto">
                    <a:xfrm>
                      <a:off x="0" y="0"/>
                      <a:ext cx="2209800" cy="1718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3DDCB6F" wp14:editId="1462A56A">
            <wp:simplePos x="0" y="0"/>
            <wp:positionH relativeFrom="margin">
              <wp:posOffset>-177800</wp:posOffset>
            </wp:positionH>
            <wp:positionV relativeFrom="paragraph">
              <wp:posOffset>590973</wp:posOffset>
            </wp:positionV>
            <wp:extent cx="3733800" cy="17018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51736" r="37180" b="2558"/>
                    <a:stretch/>
                  </pic:blipFill>
                  <pic:spPr bwMode="auto">
                    <a:xfrm>
                      <a:off x="0" y="0"/>
                      <a:ext cx="3733800" cy="1701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9586F">
        <w:t>The Denavit-Hartenberg parameters and a schematic representation of the virtual manipulator are illustrated in the following table and figure.</w:t>
      </w:r>
    </w:p>
    <w:p w14:paraId="10A8B287" w14:textId="5AB00F50" w:rsidR="00062099" w:rsidRDefault="00062099" w:rsidP="00062099"/>
    <w:p w14:paraId="4D2E418C" w14:textId="6536C25A" w:rsidR="00794336" w:rsidRDefault="008253A7" w:rsidP="00062099">
      <w:r>
        <w:t xml:space="preserve">Figure XX illustrates the revolute joints of our virtual manipulator. </w:t>
      </w:r>
      <w:r w:rsidR="003D0736">
        <w:t>The first three revolute joints model a spherical joint with which our spacecraft</w:t>
      </w:r>
      <w:r w:rsidR="00794336">
        <w:t>’s</w:t>
      </w:r>
      <w:r w:rsidR="003D0736">
        <w:t xml:space="preserve"> degrees of freedom are </w:t>
      </w:r>
      <w:r w:rsidR="00794336">
        <w:t>considered</w:t>
      </w:r>
      <w:r w:rsidR="003D0736">
        <w:t xml:space="preserve">. The final 2 joints are </w:t>
      </w:r>
      <w:r w:rsidR="00794336">
        <w:t>analogous to the real manipulator introduced in the previous tasks.</w:t>
      </w:r>
    </w:p>
    <w:p w14:paraId="39885997" w14:textId="3CCF9B7D" w:rsidR="00794336" w:rsidRPr="00FE255F" w:rsidRDefault="00794336" w:rsidP="00FE255F">
      <w:pPr>
        <w:ind w:firstLine="720"/>
        <w:rPr>
          <w:highlight w:val="yellow"/>
        </w:rPr>
      </w:pPr>
      <w:r>
        <w:t>In the graphs below the evolution of the angles, velocities and accelerations of each revolute joint is shown.</w:t>
      </w:r>
      <w:r w:rsidR="00552D27">
        <w:t xml:space="preserve"> </w:t>
      </w:r>
      <w:r w:rsidR="00552D27" w:rsidRPr="001E759D">
        <w:rPr>
          <w:highlight w:val="yellow"/>
        </w:rPr>
        <w:t>The position of Mars and the Earth with respect to the LVLH reference frame is updated every 10 seconds</w:t>
      </w:r>
      <w:r w:rsidR="00FD3FAE">
        <w:rPr>
          <w:highlight w:val="yellow"/>
        </w:rPr>
        <w:t>. Initial calculations showed that the motors would be able to perform the requested maneuver in 1 second while remaining within motor parameters. As such, to reduce the computational load required to characterize longer timeframes, maneuvers were calculated as is programmed every second.</w:t>
      </w:r>
      <w:r w:rsidR="00695AEE">
        <w:rPr>
          <w:highlight w:val="yellow"/>
        </w:rPr>
        <w:t xml:space="preserve"> The </w:t>
      </w:r>
      <w:r w:rsidR="00FD3FAE">
        <w:rPr>
          <w:highlight w:val="yellow"/>
        </w:rPr>
        <w:t xml:space="preserve">profile in graph below shows </w:t>
      </w:r>
      <w:r w:rsidR="00695AEE">
        <w:rPr>
          <w:highlight w:val="yellow"/>
        </w:rPr>
        <w:t xml:space="preserve">the final evolution, with </w:t>
      </w:r>
      <w:r w:rsidR="00FD3FAE">
        <w:rPr>
          <w:highlight w:val="yellow"/>
        </w:rPr>
        <w:t>1 maneuver</w:t>
      </w:r>
      <w:r w:rsidR="00FE255F">
        <w:rPr>
          <w:highlight w:val="yellow"/>
        </w:rPr>
        <w:t xml:space="preserve"> </w:t>
      </w:r>
      <w:r w:rsidR="00695AEE">
        <w:rPr>
          <w:highlight w:val="yellow"/>
        </w:rPr>
        <w:t xml:space="preserve">followed by 9 seconds of loitering, </w:t>
      </w:r>
      <w:r w:rsidR="00FD3FAE">
        <w:rPr>
          <w:highlight w:val="yellow"/>
        </w:rPr>
        <w:t xml:space="preserve">for a total timeframe of </w:t>
      </w:r>
      <w:r w:rsidR="005F7F20">
        <w:rPr>
          <w:highlight w:val="yellow"/>
        </w:rPr>
        <w:t>6</w:t>
      </w:r>
      <w:r w:rsidR="00FD3FAE">
        <w:rPr>
          <w:highlight w:val="yellow"/>
        </w:rPr>
        <w:t>0 minutes</w:t>
      </w:r>
      <w:r w:rsidR="005F7F20">
        <w:rPr>
          <w:highlight w:val="yellow"/>
        </w:rPr>
        <w:t xml:space="preserve"> (30 </w:t>
      </w:r>
      <w:r w:rsidR="00157034">
        <w:rPr>
          <w:highlight w:val="yellow"/>
        </w:rPr>
        <w:t xml:space="preserve">minutes </w:t>
      </w:r>
      <w:r w:rsidR="005F7F20">
        <w:rPr>
          <w:highlight w:val="yellow"/>
        </w:rPr>
        <w:t>per planet</w:t>
      </w:r>
      <w:r w:rsidR="00157034">
        <w:rPr>
          <w:highlight w:val="yellow"/>
        </w:rPr>
        <w:t>)</w:t>
      </w:r>
      <w:r w:rsidR="00FD3FAE">
        <w:rPr>
          <w:highlight w:val="yellow"/>
        </w:rPr>
        <w:t>.</w:t>
      </w:r>
      <w:r w:rsidR="00A0233D">
        <w:t xml:space="preserve"> </w:t>
      </w:r>
      <w:r w:rsidR="00FD3FAE">
        <w:t>For the first half t</w:t>
      </w:r>
      <w:r>
        <w:t>he virtual manipulator is shown pointing 15° off-nadir towards the surface of Mars. Following this</w:t>
      </w:r>
      <w:r w:rsidR="00494B8A">
        <w:t xml:space="preserve">, </w:t>
      </w:r>
      <w:r w:rsidR="00A0233D">
        <w:t>a</w:t>
      </w:r>
      <w:r>
        <w:t xml:space="preserve"> maneuver is performed which points the antenna towards Earth for transmission</w:t>
      </w:r>
      <w:r w:rsidR="00A0233D">
        <w:t xml:space="preserve"> of data</w:t>
      </w:r>
      <w:r>
        <w:t xml:space="preserve">. The variations for Joint 1 and Joint 2 illustrate the continuous effort needed </w:t>
      </w:r>
      <w:r w:rsidR="00B556F8">
        <w:t xml:space="preserve">(in the form of small angle variations) </w:t>
      </w:r>
      <w:r>
        <w:t xml:space="preserve">to achieve the task of relative pointing to Earth from a spacecraft </w:t>
      </w:r>
      <w:r w:rsidR="00A66D37">
        <w:t>in low</w:t>
      </w:r>
      <w:r>
        <w:t xml:space="preserve"> Mars</w:t>
      </w:r>
      <w:r w:rsidR="00A66D37">
        <w:t xml:space="preserve"> orbit</w:t>
      </w:r>
      <w:r w:rsidR="00B556F8">
        <w:t>.</w:t>
      </w:r>
    </w:p>
    <w:p w14:paraId="30182925" w14:textId="608B5F8B" w:rsidR="00B31306" w:rsidRDefault="00323AA4" w:rsidP="00323AA4">
      <w:pPr>
        <w:jc w:val="center"/>
      </w:pPr>
      <w:r>
        <w:rPr>
          <w:noProof/>
        </w:rPr>
        <w:drawing>
          <wp:anchor distT="0" distB="0" distL="114300" distR="114300" simplePos="0" relativeHeight="251659264" behindDoc="0" locked="0" layoutInCell="1" allowOverlap="1" wp14:anchorId="714E7A79" wp14:editId="0EADA688">
            <wp:simplePos x="0" y="0"/>
            <wp:positionH relativeFrom="column">
              <wp:posOffset>600710</wp:posOffset>
            </wp:positionH>
            <wp:positionV relativeFrom="paragraph">
              <wp:posOffset>15240</wp:posOffset>
            </wp:positionV>
            <wp:extent cx="4953000" cy="4068265"/>
            <wp:effectExtent l="0" t="0" r="0" b="889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0">
                      <a:extLst>
                        <a:ext uri="{28A0092B-C50C-407E-A947-70E740481C1C}">
                          <a14:useLocalDpi xmlns:a14="http://schemas.microsoft.com/office/drawing/2010/main" val="0"/>
                        </a:ext>
                      </a:extLst>
                    </a:blip>
                    <a:srcRect l="7693" t="4091" r="8333" b="4177"/>
                    <a:stretch/>
                  </pic:blipFill>
                  <pic:spPr bwMode="auto">
                    <a:xfrm>
                      <a:off x="0" y="0"/>
                      <a:ext cx="4953000" cy="4068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DD3DB2" w14:textId="221F63DF" w:rsidR="00323AA4" w:rsidRDefault="00323AA4" w:rsidP="00323AA4">
      <w:pPr>
        <w:jc w:val="center"/>
      </w:pPr>
      <w:r>
        <w:rPr>
          <w:noProof/>
        </w:rPr>
        <w:lastRenderedPageBreak/>
        <w:drawing>
          <wp:inline distT="0" distB="0" distL="0" distR="0" wp14:anchorId="5CA41693" wp14:editId="55AEC1DD">
            <wp:extent cx="5017135" cy="4007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5590" t="3531" r="5762" b="4089"/>
                    <a:stretch/>
                  </pic:blipFill>
                  <pic:spPr bwMode="auto">
                    <a:xfrm>
                      <a:off x="0" y="0"/>
                      <a:ext cx="5025598" cy="401415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47279F" wp14:editId="327C6CBC">
            <wp:extent cx="4884420" cy="3776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7050" t="3531" r="7848" b="4648"/>
                    <a:stretch/>
                  </pic:blipFill>
                  <pic:spPr bwMode="auto">
                    <a:xfrm>
                      <a:off x="0" y="0"/>
                      <a:ext cx="4910500" cy="3796225"/>
                    </a:xfrm>
                    <a:prstGeom prst="rect">
                      <a:avLst/>
                    </a:prstGeom>
                    <a:ln>
                      <a:noFill/>
                    </a:ln>
                    <a:extLst>
                      <a:ext uri="{53640926-AAD7-44D8-BBD7-CCE9431645EC}">
                        <a14:shadowObscured xmlns:a14="http://schemas.microsoft.com/office/drawing/2010/main"/>
                      </a:ext>
                    </a:extLst>
                  </pic:spPr>
                </pic:pic>
              </a:graphicData>
            </a:graphic>
          </wp:inline>
        </w:drawing>
      </w:r>
    </w:p>
    <w:p w14:paraId="670A76F0" w14:textId="32101BC5" w:rsidR="008253A7" w:rsidRPr="00901DFD" w:rsidRDefault="001F3399" w:rsidP="00062099">
      <w:r w:rsidRPr="00CA4176">
        <w:rPr>
          <w:highlight w:val="yellow"/>
        </w:rPr>
        <w:lastRenderedPageBreak/>
        <w:t xml:space="preserve">The dynamical coupling of the virtual manipulator is seen through the high variations of the spherical coordinates given by the high variations needed in joint 2 to achieve </w:t>
      </w:r>
      <w:r w:rsidR="00CA4176" w:rsidRPr="00CA4176">
        <w:rPr>
          <w:highlight w:val="yellow"/>
        </w:rPr>
        <w:t>continuous pointing. These values of accelerations will need to be counteracted by the AOCS.</w:t>
      </w:r>
    </w:p>
    <w:p w14:paraId="14789A3C" w14:textId="77777777" w:rsidR="00AD57FE" w:rsidRPr="00901DFD" w:rsidRDefault="00AD57FE" w:rsidP="00AD57FE"/>
    <w:p w14:paraId="4D8CA28C" w14:textId="65E3D2C7" w:rsidR="00AD57FE" w:rsidRDefault="00AD57FE" w:rsidP="00AD57FE"/>
    <w:p w14:paraId="701A16DF" w14:textId="77777777" w:rsidR="008253A7" w:rsidRPr="00901DFD" w:rsidRDefault="008253A7" w:rsidP="00AD57FE"/>
    <w:p w14:paraId="5C65A9F0" w14:textId="3A88F342" w:rsidR="003106C4" w:rsidRDefault="005D25D4" w:rsidP="003106C4">
      <w:pPr>
        <w:pStyle w:val="Heading1"/>
      </w:pPr>
      <w:r>
        <w:t>Bibliography</w:t>
      </w:r>
    </w:p>
    <w:p w14:paraId="32E8F29C" w14:textId="77777777" w:rsidR="00366F7E" w:rsidRPr="00366F7E" w:rsidRDefault="00366F7E" w:rsidP="00366F7E"/>
    <w:p w14:paraId="04D2E231" w14:textId="77777777" w:rsidR="003106C4" w:rsidRPr="00DF33F5" w:rsidRDefault="003106C4" w:rsidP="003106C4">
      <w:pPr>
        <w:rPr>
          <w:rFonts w:eastAsiaTheme="minorEastAsia"/>
        </w:rPr>
      </w:pPr>
      <w:r w:rsidRPr="00DF33F5">
        <w:rPr>
          <w:rFonts w:ascii="Arial" w:hAnsi="Arial" w:cs="Arial"/>
          <w:sz w:val="20"/>
          <w:szCs w:val="20"/>
          <w:shd w:val="clear" w:color="auto" w:fill="FFFFFF"/>
        </w:rPr>
        <w:t>[1] - Z. Vafa and S. Dubowsky, "On the dynamics of manipulators in space using the virtual manipulator approach," </w:t>
      </w:r>
      <w:r w:rsidRPr="00DF33F5">
        <w:rPr>
          <w:rStyle w:val="Emphasis"/>
          <w:rFonts w:ascii="Arial" w:hAnsi="Arial" w:cs="Arial"/>
          <w:sz w:val="20"/>
          <w:szCs w:val="20"/>
          <w:shd w:val="clear" w:color="auto" w:fill="FFFFFF"/>
        </w:rPr>
        <w:t>Proceedings. 1987 IEEE International Conference on Robotics and Automation</w:t>
      </w:r>
      <w:r w:rsidRPr="00DF33F5">
        <w:rPr>
          <w:rFonts w:ascii="Arial" w:hAnsi="Arial" w:cs="Arial"/>
          <w:sz w:val="20"/>
          <w:szCs w:val="20"/>
          <w:shd w:val="clear" w:color="auto" w:fill="FFFFFF"/>
        </w:rPr>
        <w:t>, 1987, pp. 579-585, doi: 10.1109/ROBOT.1987.1088032.</w:t>
      </w:r>
    </w:p>
    <w:p w14:paraId="6C57F159" w14:textId="77777777" w:rsidR="003106C4" w:rsidRPr="003106C4" w:rsidRDefault="003106C4" w:rsidP="003106C4"/>
    <w:sectPr w:rsidR="003106C4" w:rsidRPr="00310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82AA" w14:textId="77777777" w:rsidR="00A319AD" w:rsidRDefault="00A319AD" w:rsidP="009C2AE8">
      <w:pPr>
        <w:spacing w:after="0" w:line="240" w:lineRule="auto"/>
      </w:pPr>
      <w:r>
        <w:separator/>
      </w:r>
    </w:p>
  </w:endnote>
  <w:endnote w:type="continuationSeparator" w:id="0">
    <w:p w14:paraId="0746DA50" w14:textId="77777777" w:rsidR="00A319AD" w:rsidRDefault="00A319AD" w:rsidP="009C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06693" w14:textId="77777777" w:rsidR="00A319AD" w:rsidRDefault="00A319AD" w:rsidP="009C2AE8">
      <w:pPr>
        <w:spacing w:after="0" w:line="240" w:lineRule="auto"/>
      </w:pPr>
      <w:r>
        <w:separator/>
      </w:r>
    </w:p>
  </w:footnote>
  <w:footnote w:type="continuationSeparator" w:id="0">
    <w:p w14:paraId="4E51BB4B" w14:textId="77777777" w:rsidR="00A319AD" w:rsidRDefault="00A319AD" w:rsidP="009C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7C4B2557"/>
    <w:multiLevelType w:val="hybridMultilevel"/>
    <w:tmpl w:val="4BF8B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 w:numId="5" w16cid:durableId="1159732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171FC"/>
    <w:rsid w:val="00062099"/>
    <w:rsid w:val="000E5582"/>
    <w:rsid w:val="001317E6"/>
    <w:rsid w:val="00147C44"/>
    <w:rsid w:val="00157034"/>
    <w:rsid w:val="00160976"/>
    <w:rsid w:val="001E759D"/>
    <w:rsid w:val="001F3399"/>
    <w:rsid w:val="001F689A"/>
    <w:rsid w:val="003106C4"/>
    <w:rsid w:val="00323AA4"/>
    <w:rsid w:val="00366F7E"/>
    <w:rsid w:val="003D0736"/>
    <w:rsid w:val="00452BC2"/>
    <w:rsid w:val="00483CE5"/>
    <w:rsid w:val="00494B8A"/>
    <w:rsid w:val="00495C44"/>
    <w:rsid w:val="004C24DC"/>
    <w:rsid w:val="004D2E88"/>
    <w:rsid w:val="00536607"/>
    <w:rsid w:val="00552D27"/>
    <w:rsid w:val="005D25D4"/>
    <w:rsid w:val="005D690B"/>
    <w:rsid w:val="005E0B59"/>
    <w:rsid w:val="005E2322"/>
    <w:rsid w:val="005F7F20"/>
    <w:rsid w:val="0060539E"/>
    <w:rsid w:val="00695AEE"/>
    <w:rsid w:val="00695E13"/>
    <w:rsid w:val="006B510D"/>
    <w:rsid w:val="006D17FA"/>
    <w:rsid w:val="00702EBB"/>
    <w:rsid w:val="00710FC4"/>
    <w:rsid w:val="00711BFF"/>
    <w:rsid w:val="00753EA1"/>
    <w:rsid w:val="00794336"/>
    <w:rsid w:val="0079586F"/>
    <w:rsid w:val="007A5339"/>
    <w:rsid w:val="008253A7"/>
    <w:rsid w:val="008A5636"/>
    <w:rsid w:val="00901DFD"/>
    <w:rsid w:val="009C2AE8"/>
    <w:rsid w:val="00A0233D"/>
    <w:rsid w:val="00A2088E"/>
    <w:rsid w:val="00A319AD"/>
    <w:rsid w:val="00A66D37"/>
    <w:rsid w:val="00A90411"/>
    <w:rsid w:val="00AB348B"/>
    <w:rsid w:val="00AD57FE"/>
    <w:rsid w:val="00B25542"/>
    <w:rsid w:val="00B31306"/>
    <w:rsid w:val="00B44589"/>
    <w:rsid w:val="00B556F8"/>
    <w:rsid w:val="00BA6F47"/>
    <w:rsid w:val="00BB4478"/>
    <w:rsid w:val="00BF45F7"/>
    <w:rsid w:val="00C00665"/>
    <w:rsid w:val="00CA4176"/>
    <w:rsid w:val="00CD33AF"/>
    <w:rsid w:val="00CE4358"/>
    <w:rsid w:val="00D3799D"/>
    <w:rsid w:val="00D45CF8"/>
    <w:rsid w:val="00D45D22"/>
    <w:rsid w:val="00D560BC"/>
    <w:rsid w:val="00E1265C"/>
    <w:rsid w:val="00E425C4"/>
    <w:rsid w:val="00F209A0"/>
    <w:rsid w:val="00F75DAD"/>
    <w:rsid w:val="00FD23F6"/>
    <w:rsid w:val="00FD3FAE"/>
    <w:rsid w:val="00FD4DEA"/>
    <w:rsid w:val="00FE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Heading2Char">
    <w:name w:val="Heading 2 Char"/>
    <w:basedOn w:val="DefaultParagraphFont"/>
    <w:link w:val="Heading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Heading4Char">
    <w:name w:val="Heading 4 Char"/>
    <w:basedOn w:val="DefaultParagraphFont"/>
    <w:link w:val="Heading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Heading5Char">
    <w:name w:val="Heading 5 Char"/>
    <w:basedOn w:val="DefaultParagraphFont"/>
    <w:link w:val="Heading5"/>
    <w:uiPriority w:val="9"/>
    <w:semiHidden/>
    <w:rsid w:val="00AD57FE"/>
    <w:rPr>
      <w:rFonts w:asciiTheme="majorHAnsi" w:eastAsiaTheme="majorEastAsia" w:hAnsiTheme="majorHAnsi" w:cstheme="majorBidi"/>
      <w:color w:val="2F5496" w:themeColor="accent1" w:themeShade="BF"/>
      <w:lang w:val="it-IT"/>
    </w:rPr>
  </w:style>
  <w:style w:type="character" w:customStyle="1" w:styleId="Heading6Char">
    <w:name w:val="Heading 6 Char"/>
    <w:basedOn w:val="DefaultParagraphFont"/>
    <w:link w:val="Heading6"/>
    <w:uiPriority w:val="9"/>
    <w:semiHidden/>
    <w:rsid w:val="00AD57FE"/>
    <w:rPr>
      <w:rFonts w:asciiTheme="majorHAnsi" w:eastAsiaTheme="majorEastAsia" w:hAnsiTheme="majorHAnsi" w:cstheme="majorBidi"/>
      <w:color w:val="1F3763" w:themeColor="accent1" w:themeShade="7F"/>
      <w:lang w:val="it-IT"/>
    </w:rPr>
  </w:style>
  <w:style w:type="character" w:customStyle="1" w:styleId="Heading7Char">
    <w:name w:val="Heading 7 Char"/>
    <w:basedOn w:val="DefaultParagraphFont"/>
    <w:link w:val="Heading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Heading8Char">
    <w:name w:val="Heading 8 Char"/>
    <w:basedOn w:val="DefaultParagraphFont"/>
    <w:link w:val="Heading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Heading9Char">
    <w:name w:val="Heading 9 Char"/>
    <w:basedOn w:val="DefaultParagraphFont"/>
    <w:link w:val="Heading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ListParagraph">
    <w:name w:val="List Paragraph"/>
    <w:basedOn w:val="Normal"/>
    <w:uiPriority w:val="34"/>
    <w:qFormat/>
    <w:rsid w:val="004C24DC"/>
    <w:pPr>
      <w:ind w:left="720"/>
      <w:contextualSpacing/>
    </w:pPr>
  </w:style>
  <w:style w:type="character" w:styleId="Emphasis">
    <w:name w:val="Emphasis"/>
    <w:basedOn w:val="DefaultParagraphFont"/>
    <w:uiPriority w:val="20"/>
    <w:qFormat/>
    <w:rsid w:val="003106C4"/>
    <w:rPr>
      <w:i/>
      <w:iCs/>
    </w:rPr>
  </w:style>
  <w:style w:type="table" w:styleId="TableGrid">
    <w:name w:val="Table Grid"/>
    <w:basedOn w:val="TableNormal"/>
    <w:uiPriority w:val="39"/>
    <w:rsid w:val="00A9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411"/>
    <w:rPr>
      <w:color w:val="808080"/>
    </w:rPr>
  </w:style>
  <w:style w:type="paragraph" w:styleId="Header">
    <w:name w:val="header"/>
    <w:basedOn w:val="Normal"/>
    <w:link w:val="HeaderChar"/>
    <w:uiPriority w:val="99"/>
    <w:unhideWhenUsed/>
    <w:rsid w:val="009C2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AE8"/>
  </w:style>
  <w:style w:type="paragraph" w:styleId="Footer">
    <w:name w:val="footer"/>
    <w:basedOn w:val="Normal"/>
    <w:link w:val="FooterChar"/>
    <w:uiPriority w:val="99"/>
    <w:unhideWhenUsed/>
    <w:rsid w:val="009C2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7</Pages>
  <Words>1416</Words>
  <Characters>8073</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Tommaso Pantalani</cp:lastModifiedBy>
  <cp:revision>59</cp:revision>
  <dcterms:created xsi:type="dcterms:W3CDTF">2023-01-04T16:47:00Z</dcterms:created>
  <dcterms:modified xsi:type="dcterms:W3CDTF">2023-01-15T14:00:00Z</dcterms:modified>
</cp:coreProperties>
</file>