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Heading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is capable of pointing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dual mode is fundamental in supporting the off-nadir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Heading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Heading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ListParagraph"/>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ListParagraph"/>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ListParagraph"/>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ListParagraph"/>
        <w:numPr>
          <w:ilvl w:val="0"/>
          <w:numId w:val="2"/>
        </w:numPr>
      </w:pPr>
      <w:r w:rsidRPr="00901DFD">
        <w:t xml:space="preserve"> 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ListParagraph"/>
        <w:numPr>
          <w:ilvl w:val="0"/>
          <w:numId w:val="2"/>
        </w:numPr>
      </w:pPr>
      <w:r w:rsidRPr="00901DFD">
        <w:t xml:space="preserve"> The right ascension of the ascending node Ω</w:t>
      </w:r>
    </w:p>
    <w:p w14:paraId="1316B77A" w14:textId="77777777" w:rsidR="004C24DC" w:rsidRPr="00901DFD" w:rsidRDefault="004C24DC" w:rsidP="004C24DC">
      <w:pPr>
        <w:pStyle w:val="ListParagraph"/>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ListParagraph"/>
        <w:numPr>
          <w:ilvl w:val="0"/>
          <w:numId w:val="2"/>
        </w:numPr>
      </w:pPr>
      <w:r w:rsidRPr="00901DFD">
        <w:t>(Optional) determine the time required to meet the coverage requirement</w:t>
      </w:r>
    </w:p>
    <w:p w14:paraId="3E1B222C" w14:textId="02BB3DA7" w:rsidR="00062099" w:rsidRPr="00901DFD" w:rsidRDefault="00062099" w:rsidP="00062099">
      <w:pPr>
        <w:pStyle w:val="Heading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Heading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Heading2"/>
      </w:pPr>
      <w:r w:rsidRPr="00901DFD">
        <w:t>Results</w:t>
      </w:r>
    </w:p>
    <w:p w14:paraId="10044077" w14:textId="0E29D4B3" w:rsidR="00AD57FE" w:rsidRPr="00901DFD" w:rsidRDefault="00AD57FE" w:rsidP="00AD57FE"/>
    <w:p w14:paraId="75D184BB" w14:textId="03ED868B" w:rsidR="00AD57FE" w:rsidRPr="00901DFD" w:rsidRDefault="00AD57FE" w:rsidP="00AD57FE">
      <w:pPr>
        <w:pStyle w:val="Heading1"/>
        <w:rPr>
          <w:u w:val="single"/>
        </w:rPr>
      </w:pPr>
      <w:r w:rsidRPr="00901DFD">
        <w:rPr>
          <w:u w:val="single"/>
        </w:rPr>
        <w:lastRenderedPageBreak/>
        <w:t>Manipulator design</w:t>
      </w:r>
    </w:p>
    <w:p w14:paraId="4A4F31B3" w14:textId="77777777" w:rsidR="00062099" w:rsidRPr="00901DFD" w:rsidRDefault="00062099" w:rsidP="00062099"/>
    <w:p w14:paraId="5CFEF4C6" w14:textId="5B328A80" w:rsidR="00062099" w:rsidRPr="00901DFD" w:rsidRDefault="00062099" w:rsidP="00062099">
      <w:pPr>
        <w:pStyle w:val="Heading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ListParagraph"/>
        <w:numPr>
          <w:ilvl w:val="0"/>
          <w:numId w:val="3"/>
        </w:numPr>
      </w:pPr>
      <w:r w:rsidRPr="00901DFD">
        <w:t xml:space="preserve"> Model the manipulator by using the Denavit-Hartenberg formulation. </w:t>
      </w:r>
    </w:p>
    <w:p w14:paraId="11590259" w14:textId="77777777" w:rsidR="00901DFD" w:rsidRPr="00901DFD" w:rsidRDefault="00901DFD" w:rsidP="00901DFD">
      <w:pPr>
        <w:pStyle w:val="ListParagraph"/>
        <w:numPr>
          <w:ilvl w:val="0"/>
          <w:numId w:val="3"/>
        </w:numPr>
      </w:pPr>
      <w:r w:rsidRPr="00901DFD">
        <w:t xml:space="preserve"> Determine the Jacobian and the dynamical equations. </w:t>
      </w:r>
    </w:p>
    <w:p w14:paraId="7B7A41D9" w14:textId="77777777" w:rsidR="00901DFD" w:rsidRPr="00901DFD" w:rsidRDefault="00901DFD" w:rsidP="00901DFD">
      <w:pPr>
        <w:pStyle w:val="ListParagraph"/>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ListParagraph"/>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 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Heading2"/>
      </w:pPr>
      <w:r w:rsidRPr="00901DFD">
        <w:t>Theoretical approach</w:t>
      </w:r>
    </w:p>
    <w:p w14:paraId="2C5F68FE" w14:textId="634BA047" w:rsidR="00062099" w:rsidRPr="00901DFD" w:rsidRDefault="00062099" w:rsidP="00062099"/>
    <w:p w14:paraId="6750B2FC" w14:textId="6266891E" w:rsidR="00062099" w:rsidRPr="00901DFD" w:rsidRDefault="00062099" w:rsidP="00062099">
      <w:pPr>
        <w:pStyle w:val="Heading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Heading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Heading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Heading2"/>
      </w:pPr>
      <w:r w:rsidRPr="00901DFD">
        <w:t>Objective</w:t>
      </w:r>
    </w:p>
    <w:p w14:paraId="3096FB60" w14:textId="77777777" w:rsidR="00E425C4" w:rsidRDefault="00E425C4" w:rsidP="00062099">
      <w:r>
        <w:t>Assuming that the AOCS subsystem does not compensate the torques generated by the manipulator links:</w:t>
      </w:r>
    </w:p>
    <w:p w14:paraId="45B15DFA" w14:textId="77777777" w:rsidR="00E425C4" w:rsidRDefault="00E425C4" w:rsidP="00E425C4">
      <w:pPr>
        <w:pStyle w:val="ListParagraph"/>
        <w:numPr>
          <w:ilvl w:val="0"/>
          <w:numId w:val="4"/>
        </w:numPr>
      </w:pPr>
      <w:r>
        <w:t xml:space="preserve"> Model the virtual manipulator by assuming a spacecraft mass m = 500 kg.</w:t>
      </w:r>
    </w:p>
    <w:p w14:paraId="2E55C893" w14:textId="53018A22" w:rsidR="00062099" w:rsidRPr="00901DFD" w:rsidRDefault="00E425C4" w:rsidP="00E425C4">
      <w:pPr>
        <w:pStyle w:val="ListParagraph"/>
        <w:numPr>
          <w:ilvl w:val="0"/>
          <w:numId w:val="4"/>
        </w:numPr>
      </w:pPr>
      <w:r>
        <w:t xml:space="preserve"> Determine the trajectory of the end-effector for the virtual manipulator.</w:t>
      </w:r>
    </w:p>
    <w:p w14:paraId="23971BA9" w14:textId="77777777" w:rsidR="00062099" w:rsidRPr="00901DFD" w:rsidRDefault="00062099" w:rsidP="00062099">
      <w:pPr>
        <w:pStyle w:val="Heading2"/>
      </w:pPr>
      <w:r w:rsidRPr="00901DFD">
        <w:t>Theoretical approach</w:t>
      </w:r>
    </w:p>
    <w:p w14:paraId="79AACDDA" w14:textId="198357AB" w:rsidR="003106C4" w:rsidRPr="007C12F0" w:rsidRDefault="003106C4" w:rsidP="003106C4">
      <w:r w:rsidRPr="007C12F0">
        <w:t>The method, originally proposed by Vafa and Dubowsky</w:t>
      </w:r>
      <w:r w:rsidR="00D560BC">
        <w:rPr>
          <w:vertAlign w:val="superscript"/>
        </w:rPr>
        <w:t>[1]</w:t>
      </w:r>
      <w:r w:rsidRPr="007C12F0">
        <w:t xml:space="preserve">, introduces the concept of a "Virtual Manipulator" for the modelling of manipulators working in space. It is shown that the implementation of a virtual manipulator and a virtual ground can facilitate the planning and control of the actual </w:t>
      </w:r>
      <w:r w:rsidRPr="007C12F0">
        <w:lastRenderedPageBreak/>
        <w:t>manipulator mounted on the spacecraft while simultaneously minimizing the degrading consequences of manipulator/vehicle dynamic interactions.</w:t>
      </w:r>
    </w:p>
    <w:p w14:paraId="28A81CC2" w14:textId="77777777" w:rsidR="003106C4" w:rsidRDefault="003106C4" w:rsidP="003106C4">
      <w:r w:rsidRPr="007C12F0">
        <w:t xml:space="preserve">The virtual ground is an imaginary point, fixed in inertial space, defined as the center of mass of the whole system. If the spacecraft is unaffected by external forces (such as reaction wheels or ACS jets) the position of the virtual ground will remain unchanged in </w:t>
      </w:r>
      <w:r>
        <w:t>inertial</w:t>
      </w:r>
      <w:r w:rsidRPr="007C12F0">
        <w:t xml:space="preserve"> space. Analogously, internal forces given by joint torques or forces will also not move the position of the VG. As such the virtual manipulator is shown[] to have exploitable properties which enables us to </w:t>
      </w:r>
      <w:r>
        <w:t>model</w:t>
      </w:r>
      <w:r w:rsidRPr="007C12F0">
        <w:t xml:space="preserve"> the kinematic and dynamic motion of the free-floating manipulator system by utilizing the simpler virtual manipulator which has a fixed base in </w:t>
      </w:r>
      <w:r>
        <w:t>inertial</w:t>
      </w:r>
      <w:r w:rsidRPr="007C12F0">
        <w:t xml:space="preserve"> space.</w:t>
      </w:r>
    </w:p>
    <w:p w14:paraId="5463FBFE" w14:textId="77777777" w:rsidR="003106C4" w:rsidRDefault="003106C4" w:rsidP="003106C4">
      <w:r>
        <w:t xml:space="preserve">In the virtual space, the manipulator gains degrees of freedom related to the position and attitude of the spacecraft. Our system will therefore have 6 + 2 DOF. </w:t>
      </w:r>
    </w:p>
    <w:p w14:paraId="1AC71DFC" w14:textId="77777777" w:rsidR="003106C4" w:rsidRDefault="003106C4" w:rsidP="003106C4">
      <w:pPr>
        <w:rPr>
          <w:rFonts w:eastAsiaTheme="minorEastAsia"/>
        </w:rPr>
      </w:pPr>
      <w:r>
        <w:t xml:space="preserve">The location of the virtual ground is found given the initial configuration of the manipulator system. The position of the center of mass of each link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(t)</m:t>
        </m:r>
      </m:oMath>
      <w:r>
        <w:rPr>
          <w:rFonts w:eastAsiaTheme="minorEastAsia"/>
          <w:b/>
          <w:bCs/>
        </w:rPr>
        <w:t xml:space="preserve"> </w:t>
      </w:r>
      <w:r>
        <w:rPr>
          <w:rFonts w:eastAsiaTheme="minorEastAsia"/>
        </w:rPr>
        <w:t>is defined with respect to an inertial reference frame, which in our case is MJ2000 as extracted from the General Mission Analysis Tool (GMAT). Given our 2 link spatial manipulator the total number of links in the VM will therefore be comprised of a spherical joint associated with the spacecraft degrees of freedom and he previously defined 1-DOF links. The VG will be obtained through the following formula:</w:t>
      </w:r>
    </w:p>
    <w:p w14:paraId="63D616CD" w14:textId="77777777" w:rsidR="003106C4" w:rsidRPr="00887AFB" w:rsidRDefault="00000000" w:rsidP="00310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q=i</m:t>
                      </m:r>
                    </m:sub>
                    <m:sup>
                      <m:r>
                        <w:rPr>
                          <w:rFonts w:ascii="Cambria Math" w:eastAsiaTheme="minorEastAsia" w:hAnsi="Cambria Math"/>
                        </w:rPr>
                        <m:t>2</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q+1</m:t>
                          </m:r>
                        </m:sub>
                      </m:sSub>
                      <m:r>
                        <w:rPr>
                          <w:rFonts w:ascii="Cambria Math" w:eastAsiaTheme="minorEastAsia" w:hAnsi="Cambria Math"/>
                        </w:rPr>
                        <m:t>(0)</m:t>
                      </m:r>
                    </m:e>
                  </m:nary>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oMath>
      </m:oMathPara>
    </w:p>
    <w:p w14:paraId="2735908A" w14:textId="77777777" w:rsidR="003106C4" w:rsidRDefault="003106C4" w:rsidP="003106C4">
      <w:pPr>
        <w:rPr>
          <w:rFonts w:eastAsiaTheme="minorEastAsia"/>
        </w:rPr>
      </w:pPr>
      <w:r>
        <w:rPr>
          <w:rFonts w:eastAsiaTheme="minorEastAsia"/>
        </w:rPr>
        <w:t xml:space="preserve">Where the subscript </w:t>
      </w:r>
      <m:oMath>
        <m:r>
          <m:rPr>
            <m:sty m:val="bi"/>
          </m:rPr>
          <w:rPr>
            <w:rFonts w:ascii="Cambria Math" w:eastAsiaTheme="minorEastAsia" w:hAnsi="Cambria Math"/>
          </w:rPr>
          <m:t>i</m:t>
        </m:r>
      </m:oMath>
      <w:r>
        <w:rPr>
          <w:rFonts w:eastAsiaTheme="minorEastAsia"/>
          <w:b/>
          <w:bCs/>
        </w:rPr>
        <w:t xml:space="preserve"> </w:t>
      </w:r>
      <w:r>
        <w:rPr>
          <w:rFonts w:eastAsiaTheme="minorEastAsia"/>
        </w:rPr>
        <w:t>is illustrative of the link considered.</w:t>
      </w:r>
    </w:p>
    <w:p w14:paraId="4CF6BE59" w14:textId="77777777" w:rsidR="003106C4" w:rsidRDefault="003106C4" w:rsidP="003106C4">
      <w:pPr>
        <w:rPr>
          <w:rFonts w:eastAsiaTheme="minorEastAsia"/>
        </w:rPr>
      </w:pPr>
      <w:r>
        <w:rPr>
          <w:rFonts w:eastAsiaTheme="minorEastAsia"/>
        </w:rPr>
        <w:t xml:space="preserve">Having calculated the position of the virtual ground we introduce the vectors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which will define the position of the </w:t>
      </w:r>
      <m:oMath>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Pr>
          <w:rFonts w:eastAsiaTheme="minorEastAsia"/>
        </w:rPr>
        <w:t xml:space="preserve"> link of the VM.</w:t>
      </w:r>
    </w:p>
    <w:p w14:paraId="30F1295C" w14:textId="77777777" w:rsidR="003106C4" w:rsidRPr="00462536"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e>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e>
                <m:r>
                  <w:rPr>
                    <w:rFonts w:ascii="Cambria Math" w:eastAsiaTheme="minorEastAsia" w:hAnsi="Cambria Math"/>
                  </w:rPr>
                  <m:t>for i=1,2</m:t>
                </m:r>
              </m:e>
            </m:mr>
          </m:m>
        </m:oMath>
      </m:oMathPara>
    </w:p>
    <w:p w14:paraId="2ECC7DC6" w14:textId="77777777" w:rsidR="003106C4" w:rsidRDefault="003106C4" w:rsidP="003106C4">
      <w:pPr>
        <w:rPr>
          <w:rFonts w:eastAsiaTheme="minorEastAsia"/>
        </w:rPr>
      </w:pPr>
      <w:r>
        <w:rPr>
          <w:rFonts w:eastAsiaTheme="minorEastAsia"/>
        </w:rPr>
        <w:t>With:</w:t>
      </w:r>
    </w:p>
    <w:p w14:paraId="7601D61D" w14:textId="77777777" w:rsidR="003106C4"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e>
                </m:nary>
              </m:e>
            </m:mr>
          </m:m>
        </m:oMath>
      </m:oMathPara>
    </w:p>
    <w:p w14:paraId="3F8017C9" w14:textId="77777777" w:rsidR="003106C4" w:rsidRDefault="003106C4" w:rsidP="003106C4">
      <w:pPr>
        <w:rPr>
          <w:rFonts w:eastAsiaTheme="minorEastAsia"/>
        </w:rPr>
      </w:pPr>
      <w:r>
        <w:rPr>
          <w:rFonts w:eastAsiaTheme="minorEastAsia"/>
        </w:rPr>
        <w:t xml:space="preserve">In which the vectors </w:t>
      </w: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oMath>
      <w:r>
        <w:rPr>
          <w:rFonts w:eastAsiaTheme="minorEastAsia"/>
          <w:b/>
          <w:bCs/>
        </w:rPr>
        <w:t xml:space="preserve"> </w:t>
      </w:r>
      <w:r w:rsidRPr="006F0C29">
        <w:rPr>
          <w:rFonts w:eastAsiaTheme="minorEastAsia"/>
        </w:rPr>
        <w:t xml:space="preserve">and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are the vector identifying the center of mass and the end of link </w:t>
      </w:r>
      <m:oMath>
        <m:r>
          <m:rPr>
            <m:sty m:val="bi"/>
          </m:rPr>
          <w:rPr>
            <w:rFonts w:ascii="Cambria Math" w:eastAsiaTheme="minorEastAsia" w:hAnsi="Cambria Math"/>
          </w:rPr>
          <m:t>i</m:t>
        </m:r>
      </m:oMath>
      <w:r>
        <w:rPr>
          <w:rFonts w:eastAsiaTheme="minorEastAsia"/>
        </w:rPr>
        <w:t>.</w:t>
      </w:r>
    </w:p>
    <w:p w14:paraId="301D6099" w14:textId="77777777" w:rsidR="003106C4" w:rsidRDefault="003106C4" w:rsidP="003106C4">
      <w:pPr>
        <w:rPr>
          <w:rFonts w:eastAsiaTheme="minorEastAsia"/>
        </w:rPr>
      </w:pPr>
      <w:r>
        <w:rPr>
          <w:rFonts w:eastAsiaTheme="minorEastAsia"/>
        </w:rPr>
        <w:t>Calculated as such the VM is fully defined and its end point will coincide with the true manipulator’s end point at each instant.</w:t>
      </w:r>
    </w:p>
    <w:p w14:paraId="770CDFFC" w14:textId="47D4949A" w:rsidR="00062099" w:rsidRPr="003106C4" w:rsidRDefault="003106C4" w:rsidP="00062099">
      <w:pPr>
        <w:rPr>
          <w:rFonts w:eastAsiaTheme="minorEastAsia"/>
        </w:rPr>
      </w:pPr>
      <w:r>
        <w:rPr>
          <w:rFonts w:eastAsiaTheme="minorEastAsia"/>
        </w:rPr>
        <w:t xml:space="preserve">The trajectory of the end effector is then computed </w:t>
      </w:r>
      <w:r w:rsidR="00FD23F6">
        <w:rPr>
          <w:rFonts w:eastAsiaTheme="minorEastAsia"/>
        </w:rPr>
        <w:t>analogously to objective 3 of the Manipulator design task.</w:t>
      </w:r>
    </w:p>
    <w:p w14:paraId="43F9AC3A" w14:textId="77777777" w:rsidR="00062099" w:rsidRPr="00901DFD" w:rsidRDefault="00062099" w:rsidP="00062099">
      <w:pPr>
        <w:pStyle w:val="Heading2"/>
      </w:pPr>
      <w:r w:rsidRPr="00901DFD">
        <w:t>Code implementation</w:t>
      </w:r>
    </w:p>
    <w:p w14:paraId="5C50F347" w14:textId="77777777" w:rsidR="00062099" w:rsidRPr="00901DFD" w:rsidRDefault="00062099" w:rsidP="00062099"/>
    <w:p w14:paraId="2891CC34" w14:textId="77777777" w:rsidR="00062099" w:rsidRPr="00901DFD" w:rsidRDefault="00062099" w:rsidP="00062099">
      <w:pPr>
        <w:pStyle w:val="Heading2"/>
      </w:pPr>
      <w:r w:rsidRPr="00901DFD">
        <w:lastRenderedPageBreak/>
        <w:t xml:space="preserve">Results </w:t>
      </w:r>
    </w:p>
    <w:p w14:paraId="10A8B287" w14:textId="77777777" w:rsidR="00062099" w:rsidRPr="00901DFD" w:rsidRDefault="00062099" w:rsidP="00062099"/>
    <w:p w14:paraId="14789A3C" w14:textId="77777777" w:rsidR="00AD57FE" w:rsidRPr="00901DFD" w:rsidRDefault="00AD57FE" w:rsidP="00AD57FE"/>
    <w:p w14:paraId="4D8CA28C" w14:textId="2744B020" w:rsidR="00AD57FE" w:rsidRPr="00901DFD" w:rsidRDefault="00AD57FE" w:rsidP="00AD57FE"/>
    <w:p w14:paraId="1125783F" w14:textId="72E87F39" w:rsidR="00AD57FE" w:rsidRDefault="005D25D4" w:rsidP="005D25D4">
      <w:pPr>
        <w:pStyle w:val="Heading1"/>
      </w:pPr>
      <w:r>
        <w:t>Bibliography</w:t>
      </w:r>
    </w:p>
    <w:p w14:paraId="5C65A9F0" w14:textId="43353C52" w:rsidR="003106C4" w:rsidRDefault="003106C4" w:rsidP="003106C4"/>
    <w:p w14:paraId="04D2E231" w14:textId="77777777" w:rsidR="003106C4" w:rsidRPr="00DF33F5" w:rsidRDefault="003106C4" w:rsidP="003106C4">
      <w:pPr>
        <w:rPr>
          <w:rFonts w:eastAsiaTheme="minorEastAsia"/>
        </w:rPr>
      </w:pPr>
      <w:r w:rsidRPr="00DF33F5">
        <w:rPr>
          <w:rFonts w:ascii="Arial" w:hAnsi="Arial" w:cs="Arial"/>
          <w:sz w:val="20"/>
          <w:szCs w:val="20"/>
          <w:shd w:val="clear" w:color="auto" w:fill="FFFFFF"/>
        </w:rPr>
        <w:t>[1] - Z. Vafa and S. Dubowsky, "On the dynamics of manipulators in space using the virtual manipulator approach," </w:t>
      </w:r>
      <w:r w:rsidRPr="00DF33F5">
        <w:rPr>
          <w:rStyle w:val="Emphasis"/>
          <w:rFonts w:ascii="Arial" w:hAnsi="Arial" w:cs="Arial"/>
          <w:sz w:val="20"/>
          <w:szCs w:val="20"/>
          <w:shd w:val="clear" w:color="auto" w:fill="FFFFFF"/>
        </w:rPr>
        <w:t>Proceedings. 1987 IEEE International Conference on Robotics and Automation</w:t>
      </w:r>
      <w:r w:rsidRPr="00DF33F5">
        <w:rPr>
          <w:rFonts w:ascii="Arial" w:hAnsi="Arial" w:cs="Arial"/>
          <w:sz w:val="20"/>
          <w:szCs w:val="20"/>
          <w:shd w:val="clear" w:color="auto" w:fill="FFFFFF"/>
        </w:rPr>
        <w:t>, 1987, pp. 579-585, doi: 10.1109/ROBOT.1987.1088032.</w:t>
      </w:r>
    </w:p>
    <w:p w14:paraId="6C57F159" w14:textId="77777777" w:rsidR="003106C4" w:rsidRPr="003106C4" w:rsidRDefault="003106C4" w:rsidP="003106C4"/>
    <w:sectPr w:rsidR="003106C4" w:rsidRPr="0031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62099"/>
    <w:rsid w:val="003106C4"/>
    <w:rsid w:val="004C24DC"/>
    <w:rsid w:val="005D25D4"/>
    <w:rsid w:val="005E2322"/>
    <w:rsid w:val="00711BFF"/>
    <w:rsid w:val="007A5339"/>
    <w:rsid w:val="00901DFD"/>
    <w:rsid w:val="00A2088E"/>
    <w:rsid w:val="00AD57FE"/>
    <w:rsid w:val="00D45D22"/>
    <w:rsid w:val="00D560BC"/>
    <w:rsid w:val="00E425C4"/>
    <w:rsid w:val="00FD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Heading2Char">
    <w:name w:val="Heading 2 Char"/>
    <w:basedOn w:val="DefaultParagraphFont"/>
    <w:link w:val="Heading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Heading4Char">
    <w:name w:val="Heading 4 Char"/>
    <w:basedOn w:val="DefaultParagraphFont"/>
    <w:link w:val="Heading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Heading5Char">
    <w:name w:val="Heading 5 Char"/>
    <w:basedOn w:val="DefaultParagraphFont"/>
    <w:link w:val="Heading5"/>
    <w:uiPriority w:val="9"/>
    <w:semiHidden/>
    <w:rsid w:val="00AD57FE"/>
    <w:rPr>
      <w:rFonts w:asciiTheme="majorHAnsi" w:eastAsiaTheme="majorEastAsia" w:hAnsiTheme="majorHAnsi" w:cstheme="majorBidi"/>
      <w:color w:val="2F5496" w:themeColor="accent1" w:themeShade="BF"/>
      <w:lang w:val="it-IT"/>
    </w:rPr>
  </w:style>
  <w:style w:type="character" w:customStyle="1" w:styleId="Heading6Char">
    <w:name w:val="Heading 6 Char"/>
    <w:basedOn w:val="DefaultParagraphFont"/>
    <w:link w:val="Heading6"/>
    <w:uiPriority w:val="9"/>
    <w:semiHidden/>
    <w:rsid w:val="00AD57FE"/>
    <w:rPr>
      <w:rFonts w:asciiTheme="majorHAnsi" w:eastAsiaTheme="majorEastAsia" w:hAnsiTheme="majorHAnsi" w:cstheme="majorBidi"/>
      <w:color w:val="1F3763" w:themeColor="accent1" w:themeShade="7F"/>
      <w:lang w:val="it-IT"/>
    </w:rPr>
  </w:style>
  <w:style w:type="character" w:customStyle="1" w:styleId="Heading7Char">
    <w:name w:val="Heading 7 Char"/>
    <w:basedOn w:val="DefaultParagraphFont"/>
    <w:link w:val="Heading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Heading8Char">
    <w:name w:val="Heading 8 Char"/>
    <w:basedOn w:val="DefaultParagraphFont"/>
    <w:link w:val="Heading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Heading9Char">
    <w:name w:val="Heading 9 Char"/>
    <w:basedOn w:val="DefaultParagraphFont"/>
    <w:link w:val="Heading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ListParagraph">
    <w:name w:val="List Paragraph"/>
    <w:basedOn w:val="Normal"/>
    <w:uiPriority w:val="34"/>
    <w:qFormat/>
    <w:rsid w:val="004C24DC"/>
    <w:pPr>
      <w:ind w:left="720"/>
      <w:contextualSpacing/>
    </w:pPr>
  </w:style>
  <w:style w:type="character" w:styleId="Emphasis">
    <w:name w:val="Emphasis"/>
    <w:basedOn w:val="DefaultParagraphFont"/>
    <w:uiPriority w:val="20"/>
    <w:qFormat/>
    <w:rsid w:val="00310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958</Words>
  <Characters>5465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Tommaso Pantalani</cp:lastModifiedBy>
  <cp:revision>10</cp:revision>
  <dcterms:created xsi:type="dcterms:W3CDTF">2023-01-04T16:47:00Z</dcterms:created>
  <dcterms:modified xsi:type="dcterms:W3CDTF">2023-01-08T15:16:00Z</dcterms:modified>
</cp:coreProperties>
</file>