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(Optional) determine the time required to meet the coverage requirement</w:t>
      </w:r>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Denavit-Hartenberg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0BC45C02" w:rsidR="00062099" w:rsidRDefault="00A90411" w:rsidP="00062099">
      <w:r w:rsidRPr="00A90411">
        <w:rPr>
          <w:highlight w:val="yellow"/>
        </w:rPr>
        <w:t>Parte introduttiva</w:t>
      </w:r>
    </w:p>
    <w:p w14:paraId="6E7E5181" w14:textId="4F836AC7" w:rsidR="00A90411" w:rsidRDefault="00A90411" w:rsidP="00062099">
      <w:r>
        <w:t xml:space="preserve">The manipulator is defined via the Denavit-Hartenberg classical convention; the table XXX </w:t>
      </w:r>
      <w:r w:rsidR="006B510D">
        <w:t>summarizes</w:t>
      </w:r>
      <w:r>
        <w:t xml:space="preserve"> its characteristics.</w:t>
      </w:r>
      <w:r w:rsidR="00D45CF8">
        <w:t xml:space="preserve"> The Figure XXX schematically shows the manipulator in a generic pose with its links and rotary joints; the squared plane represents the spacecraft’s face </w:t>
      </w:r>
      <w:r w:rsidR="006B510D">
        <w:t>whose</w:t>
      </w:r>
      <w:r w:rsidR="00D45CF8">
        <w:t xml:space="preserve"> normal is aligned with the orbit’s one.</w:t>
      </w:r>
    </w:p>
    <w:tbl>
      <w:tblPr>
        <w:tblStyle w:val="TableGrid"/>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CF6C1D9" w:rsidR="009C2AE8" w:rsidRDefault="009C2AE8" w:rsidP="00062099">
      <w:r>
        <w:lastRenderedPageBreak/>
        <w:t xml:space="preserve">Considering the spacecraft’s central body like a cube of </w:t>
      </w:r>
      <w:r w:rsidR="00BA6F47">
        <w:t xml:space="preserve">side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parallel to the spacecraft velocity and the x-axis to get a right-handed triad.</w:t>
      </w:r>
      <w:r w:rsidR="00CD33AF">
        <w:t xml:space="preserve"> </w:t>
      </w:r>
      <w:r w:rsidR="00CD33AF" w:rsidRPr="008A5636">
        <w:t>The base frame i</w:t>
      </w:r>
      <w:r w:rsidR="008A5636">
        <w:t xml:space="preserve">s located at the center of the spacecraft face </w:t>
      </w:r>
      <w:r w:rsidR="00702EBB">
        <w:t>where</w:t>
      </w:r>
      <w:r w:rsidR="00F209A0">
        <w:t xml:space="preserve"> the manipulator </w:t>
      </w:r>
      <w:r w:rsidR="00702EBB">
        <w:t xml:space="preserve">is mounted </w:t>
      </w:r>
      <w:r w:rsidR="00F209A0">
        <w:t>with the x and y axis lying on it while the z axis is parallel and agree</w:t>
      </w:r>
      <w:r w:rsidR="00702EBB">
        <w:t>(?)</w:t>
      </w:r>
      <w:r w:rsidR="00F209A0">
        <w:t xml:space="preserve"> to the first joint rotation axis. The figure XXX shows the s/c with the LVLH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r>
        <w:t>Assuming that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The method, originally proposed by Vafa and Dubowsky</w:t>
      </w:r>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is defined with respect to an inertial reference frame, which in our case is MJ2000 as extracted from the General Mission Analysis Tool (GMAT). Given our 2 link spatial manipulator the total number of links in the VM will therefore be comprised of a spherical joint associated with the spacecraft degrees of freedom and he previously defined 1-DOF links. The VG will be obtained through the following formula:</w:t>
      </w:r>
    </w:p>
    <w:p w14:paraId="2F171014" w14:textId="09E90624" w:rsidR="001317E6"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576DAB73" w:rsidR="003106C4" w:rsidRDefault="003106C4" w:rsidP="003106C4">
      <w:pPr>
        <w:rPr>
          <w:rFonts w:eastAsiaTheme="minorEastAsia"/>
        </w:rPr>
      </w:pPr>
      <w:r>
        <w:rPr>
          <w:rFonts w:eastAsiaTheme="minorEastAsia"/>
        </w:rPr>
        <w:t>With:</w:t>
      </w:r>
    </w:p>
    <w:p w14:paraId="47A39F44" w14:textId="7CAA7161" w:rsidR="004D2E88"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27509EB1" w14:textId="76A7FDE0" w:rsidR="00CE4358" w:rsidRPr="00CE4358" w:rsidRDefault="003106C4" w:rsidP="00CE4358">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Heading2"/>
      </w:pPr>
      <w:r w:rsidRPr="00901DFD">
        <w:lastRenderedPageBreak/>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72E87F39" w:rsidR="00AD57FE" w:rsidRDefault="005D25D4" w:rsidP="005D25D4">
      <w:pPr>
        <w:pStyle w:val="Heading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[1] - Z. Vafa and S. Dubowsky,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1987, pp. 579-585, doi: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9F1B" w14:textId="77777777" w:rsidR="00B44589" w:rsidRDefault="00B44589" w:rsidP="009C2AE8">
      <w:pPr>
        <w:spacing w:after="0" w:line="240" w:lineRule="auto"/>
      </w:pPr>
      <w:r>
        <w:separator/>
      </w:r>
    </w:p>
  </w:endnote>
  <w:endnote w:type="continuationSeparator" w:id="0">
    <w:p w14:paraId="52FCFA3C" w14:textId="77777777" w:rsidR="00B44589" w:rsidRDefault="00B44589"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FB6C" w14:textId="77777777" w:rsidR="00B44589" w:rsidRDefault="00B44589" w:rsidP="009C2AE8">
      <w:pPr>
        <w:spacing w:after="0" w:line="240" w:lineRule="auto"/>
      </w:pPr>
      <w:r>
        <w:separator/>
      </w:r>
    </w:p>
  </w:footnote>
  <w:footnote w:type="continuationSeparator" w:id="0">
    <w:p w14:paraId="193C8D8E" w14:textId="77777777" w:rsidR="00B44589" w:rsidRDefault="00B44589"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7C4B2557"/>
    <w:multiLevelType w:val="hybridMultilevel"/>
    <w:tmpl w:val="4BF8B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 w:numId="5" w16cid:durableId="115973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0E5582"/>
    <w:rsid w:val="001317E6"/>
    <w:rsid w:val="003106C4"/>
    <w:rsid w:val="00495C44"/>
    <w:rsid w:val="004C24DC"/>
    <w:rsid w:val="004D2E88"/>
    <w:rsid w:val="005D25D4"/>
    <w:rsid w:val="005D690B"/>
    <w:rsid w:val="005E0B59"/>
    <w:rsid w:val="005E2322"/>
    <w:rsid w:val="006B510D"/>
    <w:rsid w:val="00702EBB"/>
    <w:rsid w:val="00710FC4"/>
    <w:rsid w:val="00711BFF"/>
    <w:rsid w:val="00753EA1"/>
    <w:rsid w:val="007A5339"/>
    <w:rsid w:val="008A5636"/>
    <w:rsid w:val="00901DFD"/>
    <w:rsid w:val="009C2AE8"/>
    <w:rsid w:val="00A2088E"/>
    <w:rsid w:val="00A90411"/>
    <w:rsid w:val="00AD57FE"/>
    <w:rsid w:val="00B44589"/>
    <w:rsid w:val="00BA6F47"/>
    <w:rsid w:val="00CD33AF"/>
    <w:rsid w:val="00CE4358"/>
    <w:rsid w:val="00D3799D"/>
    <w:rsid w:val="00D45CF8"/>
    <w:rsid w:val="00D45D22"/>
    <w:rsid w:val="00D560BC"/>
    <w:rsid w:val="00E1265C"/>
    <w:rsid w:val="00E425C4"/>
    <w:rsid w:val="00F209A0"/>
    <w:rsid w:val="00FD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 w:type="table" w:styleId="TableGrid">
    <w:name w:val="Table Grid"/>
    <w:basedOn w:val="TableNormal"/>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411"/>
    <w:rPr>
      <w:color w:val="808080"/>
    </w:rPr>
  </w:style>
  <w:style w:type="paragraph" w:styleId="Header">
    <w:name w:val="header"/>
    <w:basedOn w:val="Normal"/>
    <w:link w:val="HeaderChar"/>
    <w:uiPriority w:val="99"/>
    <w:unhideWhenUsed/>
    <w:rsid w:val="009C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E8"/>
  </w:style>
  <w:style w:type="paragraph" w:styleId="Footer">
    <w:name w:val="footer"/>
    <w:basedOn w:val="Normal"/>
    <w:link w:val="FooterChar"/>
    <w:uiPriority w:val="99"/>
    <w:unhideWhenUsed/>
    <w:rsid w:val="009C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1150</Words>
  <Characters>6555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25</cp:revision>
  <dcterms:created xsi:type="dcterms:W3CDTF">2023-01-04T16:47:00Z</dcterms:created>
  <dcterms:modified xsi:type="dcterms:W3CDTF">2023-01-09T18:06:00Z</dcterms:modified>
</cp:coreProperties>
</file>