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rPr>
          <w:rFonts w:ascii="Times New Roman" w:hAnsi="Times New Roman"/>
          <w:b/>
          <w:sz w:val="32"/>
        </w:rPr>
        <w:t>Phatic-Only Slang and the Limits of Meaning-Based Lexical Theory: A Sociolinguistic and Lexical-Semantic Review of the Origins, Spread, and Meaning of the “6-7” Meme</w:t>
      </w:r>
    </w:p>
    <w:p>
      <w:pPr>
        <w:spacing w:before="0" w:after="40" w:line="240" w:lineRule="auto"/>
        <w:jc w:val="center"/>
      </w:pPr>
      <w:r>
        <w:rPr>
          <w:rFonts w:ascii="Times New Roman" w:hAnsi="Times New Roman"/>
          <w:sz w:val="24"/>
        </w:rPr>
        <w:t>[Author Name]¹*</w:t>
      </w:r>
    </w:p>
    <w:p>
      <w:pPr>
        <w:spacing w:before="0" w:after="200" w:line="240" w:lineRule="auto"/>
        <w:jc w:val="center"/>
      </w:pPr>
      <w:r>
        <w:rPr>
          <w:rFonts w:ascii="Times New Roman" w:hAnsi="Times New Roman"/>
          <w:sz w:val="20"/>
        </w:rPr>
        <w:t>¹ [Department / Faculty, Institution, City, Country]    * Corresponding author: [email]</w:t>
      </w:r>
    </w:p>
    <w:p>
      <w:pPr>
        <w:spacing w:before="0" w:after="40" w:line="240" w:lineRule="auto"/>
      </w:pPr>
      <w:r>
        <w:rPr>
          <w:rFonts w:ascii="Times New Roman" w:hAnsi="Times New Roman"/>
          <w:b/>
          <w:sz w:val="24"/>
        </w:rPr>
        <w:t>Abstract</w:t>
      </w:r>
    </w:p>
    <w:p>
      <w:pPr>
        <w:spacing w:before="0" w:after="120" w:line="240" w:lineRule="auto"/>
        <w:jc w:val="both"/>
      </w:pPr>
      <w:r>
        <w:rPr>
          <w:rFonts w:ascii="Times New Roman" w:hAnsi="Times New Roman"/>
          <w:b/>
          <w:sz w:val="20"/>
        </w:rPr>
        <w:t>Background.</w:t>
      </w:r>
      <w:r>
        <w:rPr>
          <w:rFonts w:ascii="Times New Roman" w:hAnsi="Times New Roman"/>
          <w:sz w:val="20"/>
        </w:rPr>
        <w:t xml:space="preserve"> In October 2025 Dictionary.com named “67” (rendered </w:t>
      </w:r>
      <w:r>
        <w:rPr>
          <w:rFonts w:ascii="Times New Roman" w:hAnsi="Times New Roman"/>
          <w:i/>
          <w:sz w:val="20"/>
        </w:rPr>
        <w:t>6-7</w:t>
      </w:r>
      <w:r>
        <w:rPr>
          <w:rFonts w:ascii="Times New Roman" w:hAnsi="Times New Roman"/>
          <w:sz w:val="20"/>
        </w:rPr>
        <w:t xml:space="preserve">, pronounced </w:t>
      </w:r>
      <w:r>
        <w:rPr>
          <w:rFonts w:ascii="Times New Roman" w:hAnsi="Times New Roman"/>
          <w:i/>
          <w:sz w:val="20"/>
        </w:rPr>
        <w:t>six-seven</w:t>
      </w:r>
      <w:r>
        <w:rPr>
          <w:rFonts w:ascii="Times New Roman" w:hAnsi="Times New Roman"/>
          <w:sz w:val="20"/>
        </w:rPr>
        <w:t xml:space="preserve">) its Word of the Year while conceding that the term is “impossible to define.” A non-sequitur interjection that spread among Generation Alpha through TikTok, basketball edits, and a Philadelphia drill song, </w:t>
      </w:r>
      <w:r>
        <w:rPr>
          <w:rFonts w:ascii="Times New Roman" w:hAnsi="Times New Roman"/>
          <w:i/>
          <w:sz w:val="20"/>
        </w:rPr>
        <w:t>6-7</w:t>
      </w:r>
      <w:r>
        <w:rPr>
          <w:rFonts w:ascii="Times New Roman" w:hAnsi="Times New Roman"/>
          <w:sz w:val="20"/>
        </w:rPr>
        <w:t xml:space="preserve"> appears to carry no referential content yet remains demonstrably meaningful to its users. </w:t>
      </w:r>
      <w:r>
        <w:rPr>
          <w:rFonts w:ascii="Times New Roman" w:hAnsi="Times New Roman"/>
          <w:b/>
          <w:sz w:val="20"/>
        </w:rPr>
        <w:t>Objective.</w:t>
      </w:r>
      <w:r>
        <w:rPr>
          <w:rFonts w:ascii="Times New Roman" w:hAnsi="Times New Roman"/>
          <w:sz w:val="20"/>
        </w:rPr>
        <w:t xml:space="preserve"> This narrative review asks what such a phatic-only slang term reveals about the limits of meaning-based—referential and truth-conditional—lexical theory, and which frameworks best account for it. </w:t>
      </w:r>
      <w:r>
        <w:rPr>
          <w:rFonts w:ascii="Times New Roman" w:hAnsi="Times New Roman"/>
          <w:b/>
          <w:sz w:val="20"/>
        </w:rPr>
        <w:t>Method.</w:t>
      </w:r>
      <w:r>
        <w:rPr>
          <w:rFonts w:ascii="Times New Roman" w:hAnsi="Times New Roman"/>
          <w:sz w:val="20"/>
        </w:rPr>
        <w:t xml:space="preserve"> A structured narrative review synthesised conceptual, empirical, and lexicographic literature across five thematic search angles; extracted claims were rendered falsifiable and subjected to an adversarial verification pass that actively sought to refute them. </w:t>
      </w:r>
      <w:r>
        <w:rPr>
          <w:rFonts w:ascii="Times New Roman" w:hAnsi="Times New Roman"/>
          <w:b/>
          <w:sz w:val="20"/>
        </w:rPr>
        <w:t>Results.</w:t>
      </w:r>
      <w:r>
        <w:rPr>
          <w:rFonts w:ascii="Times New Roman" w:hAnsi="Times New Roman"/>
          <w:sz w:val="20"/>
        </w:rPr>
        <w:t xml:space="preserve"> Linguists and lexicographers converge: </w:t>
      </w:r>
      <w:r>
        <w:rPr>
          <w:rFonts w:ascii="Times New Roman" w:hAnsi="Times New Roman"/>
          <w:i/>
          <w:sz w:val="20"/>
        </w:rPr>
        <w:t>6-7</w:t>
      </w:r>
      <w:r>
        <w:rPr>
          <w:rFonts w:ascii="Times New Roman" w:hAnsi="Times New Roman"/>
          <w:sz w:val="20"/>
        </w:rPr>
        <w:t xml:space="preserve"> is semantically near-void but socially potent, operating as an in-group shibboleth through semantic bleaching, expressive (use-conditional) meaning, and sociolinguistic indexicality. It instantiates Malinowski’s (1923) phatic communion and Jakobson’s (1960) phatic function. </w:t>
      </w:r>
      <w:r>
        <w:rPr>
          <w:rFonts w:ascii="Times New Roman" w:hAnsi="Times New Roman"/>
          <w:b/>
          <w:sz w:val="20"/>
        </w:rPr>
        <w:t>Conclusion.</w:t>
      </w:r>
      <w:r>
        <w:rPr>
          <w:rFonts w:ascii="Times New Roman" w:hAnsi="Times New Roman"/>
          <w:sz w:val="20"/>
        </w:rPr>
        <w:t xml:space="preserve"> </w:t>
      </w:r>
      <w:r>
        <w:rPr>
          <w:rFonts w:ascii="Times New Roman" w:hAnsi="Times New Roman"/>
          <w:i/>
          <w:sz w:val="20"/>
        </w:rPr>
        <w:t>6-7</w:t>
      </w:r>
      <w:r>
        <w:rPr>
          <w:rFonts w:ascii="Times New Roman" w:hAnsi="Times New Roman"/>
          <w:sz w:val="20"/>
        </w:rPr>
        <w:t xml:space="preserve"> does not refute referential semantics so much as map its boundary; a complete theory of the lexicon requires use-based, expressive, and indexical supplementation. The paradox of a dictionary defining the indefinable is a diagnostic signal about what lexical meaning can be.</w:t>
      </w:r>
    </w:p>
    <w:p>
      <w:pPr>
        <w:spacing w:before="0" w:after="200" w:line="240" w:lineRule="auto"/>
        <w:jc w:val="both"/>
      </w:pPr>
      <w:r>
        <w:rPr>
          <w:rFonts w:ascii="Times New Roman" w:hAnsi="Times New Roman"/>
          <w:b/>
          <w:sz w:val="20"/>
        </w:rPr>
        <w:t>Keywords: phatic communion; phatic function; lexical semantics; expressive meaning; sociolinguistic indexicality; slang; internet linguistics; brainrot; Generation Alpha</w:t>
      </w:r>
    </w:p>
    <w:p>
      <w:pPr>
        <w:spacing w:before="240" w:after="80" w:line="240" w:lineRule="auto"/>
      </w:pPr>
      <w:r>
        <w:rPr>
          <w:rFonts w:ascii="Times New Roman" w:hAnsi="Times New Roman"/>
          <w:b/>
          <w:sz w:val="26"/>
        </w:rPr>
        <w:t>1. Introduction</w:t>
      </w:r>
    </w:p>
    <w:p>
      <w:pPr>
        <w:spacing w:before="0" w:after="120" w:line="240" w:lineRule="auto"/>
        <w:jc w:val="both"/>
      </w:pPr>
      <w:r>
        <w:rPr>
          <w:rFonts w:ascii="Times New Roman" w:hAnsi="Times New Roman"/>
          <w:sz w:val="22"/>
        </w:rPr>
        <w:t xml:space="preserve">The lexicographer’s traditional task—pairing a word-form with a definition—presupposes that words have meanings of the kind a definition can capture. Most do. But a recurring challenge to meaning-based lexical theory comes from expressions that resist this pairing: interjections, expletives, discourse particles, greetings, and the formulaic small talk that linguists since Malinowski (1923) have grouped under the heading of </w:t>
      </w:r>
      <w:r>
        <w:rPr>
          <w:rFonts w:ascii="Times New Roman" w:hAnsi="Times New Roman"/>
          <w:i/>
          <w:sz w:val="22"/>
        </w:rPr>
        <w:t>phatic</w:t>
      </w:r>
      <w:r>
        <w:rPr>
          <w:rFonts w:ascii="Times New Roman" w:hAnsi="Times New Roman"/>
          <w:sz w:val="22"/>
        </w:rPr>
        <w:t xml:space="preserve"> language. These items perform real communicative work, yet they are difficult or impossible to define in referential terms.</w:t>
      </w:r>
    </w:p>
    <w:p>
      <w:pPr>
        <w:spacing w:before="0" w:after="120" w:line="240" w:lineRule="auto"/>
        <w:jc w:val="both"/>
      </w:pPr>
      <w:r>
        <w:rPr>
          <w:rFonts w:ascii="Times New Roman" w:hAnsi="Times New Roman"/>
          <w:sz w:val="22"/>
        </w:rPr>
        <w:t xml:space="preserve">The viral slang term </w:t>
      </w:r>
      <w:r>
        <w:rPr>
          <w:rFonts w:ascii="Times New Roman" w:hAnsi="Times New Roman"/>
          <w:i/>
          <w:sz w:val="22"/>
        </w:rPr>
        <w:t>6-7</w:t>
      </w:r>
      <w:r>
        <w:rPr>
          <w:rFonts w:ascii="Times New Roman" w:hAnsi="Times New Roman"/>
          <w:sz w:val="22"/>
        </w:rPr>
        <w:t xml:space="preserve"> is a near-perfect specimen of this class, and its 2025 elevation to Word of the Year by a dictionary—an institution whose entire enterprise is definition—sharpens the problem into something approaching paradox. When Dictionary.com’s Director of Lexicography, Steve Johnson, says the term is “part inside joke, part social signal and part performance” and that “when people say it, they’re not just repeating a meme; they’re shouting a feeling” (Smithsonian Magazine, 2025), he describes an item whose value lies almost entirely outside the denotational dimension that meaning-based theory privileges.</w:t>
      </w:r>
    </w:p>
    <w:p>
      <w:pPr>
        <w:spacing w:before="0" w:after="120" w:line="240" w:lineRule="auto"/>
        <w:jc w:val="both"/>
      </w:pPr>
      <w:r>
        <w:rPr>
          <w:rFonts w:ascii="Times New Roman" w:hAnsi="Times New Roman"/>
          <w:sz w:val="22"/>
        </w:rPr>
        <w:t xml:space="preserve">This review pursues four questions. First, what are the documented origins, spread, and use of </w:t>
      </w:r>
      <w:r>
        <w:rPr>
          <w:rFonts w:ascii="Times New Roman" w:hAnsi="Times New Roman"/>
          <w:i/>
          <w:sz w:val="22"/>
        </w:rPr>
        <w:t>6-7</w:t>
      </w:r>
      <w:r>
        <w:rPr>
          <w:rFonts w:ascii="Times New Roman" w:hAnsi="Times New Roman"/>
          <w:sz w:val="22"/>
        </w:rPr>
        <w:t xml:space="preserve">? Second, how does phatic theory frame contentless-but-functional language? Third, what are the commitments of meaning-based lexical theory, and where do they fail for an item with no referential content? Fourth, which frameworks best account for a phatic-only slang term, and what does the case imply for the lexicon more broadly? A recurring methodological theme is the thinness of the academic evidence on </w:t>
      </w:r>
      <w:r>
        <w:rPr>
          <w:rFonts w:ascii="Times New Roman" w:hAnsi="Times New Roman"/>
          <w:i/>
          <w:sz w:val="22"/>
        </w:rPr>
        <w:t>6-7</w:t>
      </w:r>
      <w:r>
        <w:rPr>
          <w:rFonts w:ascii="Times New Roman" w:hAnsi="Times New Roman"/>
          <w:sz w:val="22"/>
        </w:rPr>
        <w:t xml:space="preserve"> specifically, which the synthesis offsets by triangulating lexicographic statements, named-linguist commentary, and established theory.</w:t>
      </w:r>
    </w:p>
    <w:p>
      <w:pPr>
        <w:spacing w:before="240" w:after="80" w:line="240" w:lineRule="auto"/>
      </w:pPr>
      <w:r>
        <w:rPr>
          <w:rFonts w:ascii="Times New Roman" w:hAnsi="Times New Roman"/>
          <w:b/>
          <w:sz w:val="26"/>
        </w:rPr>
        <w:t>2. Method</w:t>
      </w:r>
    </w:p>
    <w:p>
      <w:pPr>
        <w:spacing w:before="0" w:after="120" w:line="240" w:lineRule="auto"/>
        <w:jc w:val="both"/>
      </w:pPr>
      <w:r>
        <w:rPr>
          <w:rFonts w:ascii="Times New Roman" w:hAnsi="Times New Roman"/>
          <w:sz w:val="22"/>
        </w:rPr>
        <w:t>This is a narrative (interpretive) review rather than a systematic review, appropriate because the object spans a fast-moving cultural phenomenon and several mature but separate theoretical literatures that no single systematic protocol indexes well.</w:t>
      </w:r>
    </w:p>
    <w:p>
      <w:pPr>
        <w:spacing w:before="0" w:after="120" w:line="240" w:lineRule="auto"/>
        <w:jc w:val="both"/>
      </w:pPr>
      <w:r>
        <w:rPr>
          <w:rFonts w:ascii="Times New Roman" w:hAnsi="Times New Roman"/>
          <w:b/>
          <w:sz w:val="22"/>
        </w:rPr>
        <w:t xml:space="preserve">Source identification. </w:t>
      </w:r>
      <w:r>
        <w:rPr>
          <w:rFonts w:ascii="Times New Roman" w:hAnsi="Times New Roman"/>
          <w:sz w:val="22"/>
        </w:rPr>
        <w:t xml:space="preserve">Five thematic search angles were defined a priori—(i) the trajectory of the </w:t>
      </w:r>
      <w:r>
        <w:rPr>
          <w:rFonts w:ascii="Times New Roman" w:hAnsi="Times New Roman"/>
          <w:i/>
          <w:sz w:val="22"/>
        </w:rPr>
        <w:t>6-7</w:t>
      </w:r>
      <w:r>
        <w:rPr>
          <w:rFonts w:ascii="Times New Roman" w:hAnsi="Times New Roman"/>
          <w:sz w:val="22"/>
        </w:rPr>
        <w:t xml:space="preserve"> meme; (ii) phatic communication and the phatic function; (iii) meaning-based versus use-based theories of lexical meaning; (iv) slang, internet linguistics, and memetics; and (v) the theoretical nexus joining phatic-only expression to lexical theory—and pursued through an independent fan-out of web searches across encyclopaedic, scholarly, lexicographic, and journalistic sources in June 2026 (Figure 1).</w:t>
      </w:r>
    </w:p>
    <w:p>
      <w:pPr>
        <w:spacing w:before="0" w:after="120" w:line="240" w:lineRule="auto"/>
        <w:jc w:val="both"/>
      </w:pPr>
      <w:r>
        <w:rPr>
          <w:rFonts w:ascii="Times New Roman" w:hAnsi="Times New Roman"/>
          <w:b/>
          <w:sz w:val="22"/>
        </w:rPr>
        <w:t xml:space="preserve">Source selection and exclusion. </w:t>
      </w:r>
      <w:r>
        <w:rPr>
          <w:rFonts w:ascii="Times New Roman" w:hAnsi="Times New Roman"/>
          <w:sz w:val="22"/>
        </w:rPr>
        <w:t>Sources were retained on relevance and authority and sorted into three tiers: (a) primary theoretical texts (e.g., Malinowski, 1923; Jakobson, 1960; Wittgenstein, 1953; Potts, 2005, 2007; Eckert, 2008); (b) peer-reviewed or scholarly secondary sources and reference works; and (c) reputable journalism and lexicographic statements, used chiefly for the contemporary phenomenon and always preferring pieces that quote named linguists. Popular sources were not used to support theoretical claims.</w:t>
      </w:r>
    </w:p>
    <w:p>
      <w:pPr>
        <w:spacing w:before="0" w:after="120" w:line="240" w:lineRule="auto"/>
        <w:jc w:val="both"/>
      </w:pPr>
      <w:r>
        <w:rPr>
          <w:rFonts w:ascii="Times New Roman" w:hAnsi="Times New Roman"/>
          <w:b/>
          <w:sz w:val="22"/>
        </w:rPr>
        <w:t xml:space="preserve">Quality appraisal and adversarial verification. </w:t>
      </w:r>
      <w:r>
        <w:rPr>
          <w:rFonts w:ascii="Times New Roman" w:hAnsi="Times New Roman"/>
          <w:sz w:val="22"/>
        </w:rPr>
        <w:t>Each substantive claim was rendered as a falsifiable statement, assigned a source tier, and—where stakes or uncertainty were high—subjected to an adversarial verification pass in which independent counter-searches actively sought to refute it. A claim survived only under corroboration from multiple independent sources, and was otherwise corrected or struck (Table 1). No claim was struck; two citation errors were corrected (the Firth source and the attribution of “indexical field” to Eckert, 2008).</w:t>
      </w:r>
    </w:p>
    <w:p>
      <w:pPr>
        <w:spacing w:before="0" w:after="120" w:line="240" w:lineRule="auto"/>
        <w:jc w:val="both"/>
      </w:pPr>
      <w:r>
        <w:rPr>
          <w:rFonts w:ascii="Times New Roman" w:hAnsi="Times New Roman"/>
          <w:b/>
          <w:sz w:val="22"/>
        </w:rPr>
        <w:t xml:space="preserve">Synthesis. </w:t>
      </w:r>
      <w:r>
        <w:rPr>
          <w:rFonts w:ascii="Times New Roman" w:hAnsi="Times New Roman"/>
          <w:sz w:val="22"/>
        </w:rPr>
        <w:t>Findings were organised thematically rather than chronologically, moving from the phenomenon (Sections 3–5) to phatic theory (Sections 6–7), to meaning-based theory and its limits (Sections 8–9), to the frameworks that account for the case (Sections 10–12).</w:t>
      </w:r>
    </w:p>
    <w:p>
      <w:pPr>
        <w:spacing w:before="0" w:after="120" w:line="240" w:lineRule="auto"/>
        <w:jc w:val="both"/>
      </w:pPr>
      <w:r>
        <w:rPr>
          <w:rFonts w:ascii="Times New Roman" w:hAnsi="Times New Roman"/>
          <w:i/>
          <w:sz w:val="22"/>
        </w:rPr>
        <w:t xml:space="preserve">A structural limitation must be stated at the outset: no peer-reviewed study yet addresses the </w:t>
      </w:r>
      <w:r>
        <w:rPr>
          <w:rFonts w:ascii="Times New Roman" w:hAnsi="Times New Roman"/>
          <w:i/>
          <w:sz w:val="22"/>
        </w:rPr>
        <w:t>6-7</w:t>
      </w:r>
      <w:r>
        <w:rPr>
          <w:rFonts w:ascii="Times New Roman" w:hAnsi="Times New Roman"/>
          <w:i/>
          <w:sz w:val="22"/>
        </w:rPr>
        <w:t xml:space="preserve"> meme directly, so the contemporary evidence base rests on lexicographic statements and journalism quoting linguists rather than on primary empirical research.</w:t>
      </w:r>
    </w:p>
    <w:p>
      <w:pPr>
        <w:spacing w:before="160" w:after="40" w:line="240" w:lineRule="auto"/>
        <w:jc w:val="center"/>
      </w:pPr>
      <w:r>
        <w:drawing>
          <wp:inline xmlns:a="http://schemas.openxmlformats.org/drawingml/2006/main" xmlns:pic="http://schemas.openxmlformats.org/drawingml/2006/picture">
            <wp:extent cx="5394960" cy="1765777"/>
            <wp:docPr id="1" name="Picture 1"/>
            <wp:cNvGraphicFramePr>
              <a:graphicFrameLocks noChangeAspect="1"/>
            </wp:cNvGraphicFramePr>
            <a:graphic>
              <a:graphicData uri="http://schemas.openxmlformats.org/drawingml/2006/picture">
                <pic:pic>
                  <pic:nvPicPr>
                    <pic:cNvPr id="0" name="fig1_workflow.png"/>
                    <pic:cNvPicPr/>
                  </pic:nvPicPr>
                  <pic:blipFill>
                    <a:blip r:embed="rId9"/>
                    <a:stretch>
                      <a:fillRect/>
                    </a:stretch>
                  </pic:blipFill>
                  <pic:spPr>
                    <a:xfrm>
                      <a:off x="0" y="0"/>
                      <a:ext cx="5394960" cy="1765777"/>
                    </a:xfrm>
                    <a:prstGeom prst="rect"/>
                  </pic:spPr>
                </pic:pic>
              </a:graphicData>
            </a:graphic>
          </wp:inline>
        </w:drawing>
      </w:r>
    </w:p>
    <w:p>
      <w:pPr>
        <w:spacing w:before="0" w:after="160" w:line="240" w:lineRule="auto"/>
        <w:jc w:val="center"/>
      </w:pPr>
      <w:r>
        <w:rPr>
          <w:rFonts w:ascii="Times New Roman" w:hAnsi="Times New Roman"/>
          <w:b/>
          <w:sz w:val="18"/>
        </w:rPr>
        <w:t>Figure 1. The structured narrative-review and adversarial-verification workflow.</w:t>
      </w:r>
    </w:p>
    <w:p>
      <w:pPr>
        <w:spacing w:before="160" w:after="40" w:line="240" w:lineRule="auto"/>
      </w:pPr>
      <w:r>
        <w:rPr>
          <w:rFonts w:ascii="Times New Roman" w:hAnsi="Times New Roman"/>
          <w:b/>
          <w:sz w:val="20"/>
        </w:rPr>
        <w:t>Table 1. Evidence and verification appraisal of principal claims.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tcPr>
          <w:p>
            <w:pPr>
              <w:spacing w:after="40"/>
            </w:pPr>
            <w:r>
              <w:rPr>
                <w:rFonts w:ascii="Times New Roman" w:hAnsi="Times New Roman"/>
                <w:b/>
                <w:sz w:val="19"/>
              </w:rPr>
              <w:t>Claim</w:t>
            </w:r>
          </w:p>
        </w:tc>
        <w:tc>
          <w:tcPr>
            <w:tcW w:type="dxa" w:w="3024"/>
          </w:tcPr>
          <w:p>
            <w:pPr>
              <w:spacing w:after="40"/>
            </w:pPr>
            <w:r>
              <w:rPr>
                <w:rFonts w:ascii="Times New Roman" w:hAnsi="Times New Roman"/>
                <w:b/>
                <w:sz w:val="19"/>
              </w:rPr>
              <w:t>Best source(s)</w:t>
            </w:r>
          </w:p>
        </w:tc>
        <w:tc>
          <w:tcPr>
            <w:tcW w:type="dxa" w:w="1872"/>
          </w:tcPr>
          <w:p>
            <w:pPr>
              <w:spacing w:after="40"/>
            </w:pPr>
            <w:r>
              <w:rPr>
                <w:rFonts w:ascii="Times New Roman" w:hAnsi="Times New Roman"/>
                <w:b/>
                <w:sz w:val="19"/>
              </w:rPr>
              <w:t>Tier</w:t>
            </w:r>
          </w:p>
        </w:tc>
        <w:tc>
          <w:tcPr>
            <w:tcW w:type="dxa" w:w="1872"/>
          </w:tcPr>
          <w:p>
            <w:pPr>
              <w:spacing w:after="40"/>
            </w:pPr>
            <w:r>
              <w:rPr>
                <w:rFonts w:ascii="Times New Roman" w:hAnsi="Times New Roman"/>
                <w:b/>
                <w:sz w:val="19"/>
              </w:rPr>
              <w:t>Status</w:t>
            </w:r>
          </w:p>
        </w:tc>
      </w:tr>
      <w:tr>
        <w:tc>
          <w:tcPr>
            <w:tcW w:type="dxa" w:w="3312"/>
          </w:tcPr>
          <w:p>
            <w:pPr>
              <w:spacing w:after="40"/>
            </w:pPr>
            <w:r>
              <w:rPr>
                <w:rFonts w:ascii="Times New Roman" w:hAnsi="Times New Roman"/>
                <w:sz w:val="18"/>
              </w:rPr>
              <w:t>Originates in Skrilla’s “Doot Doot (6 7)”</w:t>
            </w:r>
          </w:p>
        </w:tc>
        <w:tc>
          <w:tcPr>
            <w:tcW w:type="dxa" w:w="3024"/>
          </w:tcPr>
          <w:p>
            <w:pPr>
              <w:spacing w:after="40"/>
            </w:pPr>
            <w:r>
              <w:rPr>
                <w:rFonts w:ascii="Times New Roman" w:hAnsi="Times New Roman"/>
                <w:sz w:val="18"/>
              </w:rPr>
              <w:t>Complex, 2025; WHYY, 2025; Skrilla, 2025</w:t>
            </w:r>
          </w:p>
        </w:tc>
        <w:tc>
          <w:tcPr>
            <w:tcW w:type="dxa" w:w="1872"/>
          </w:tcPr>
          <w:p>
            <w:pPr>
              <w:spacing w:after="40"/>
            </w:pPr>
            <w:r>
              <w:rPr>
                <w:rFonts w:ascii="Times New Roman" w:hAnsi="Times New Roman"/>
                <w:sz w:val="18"/>
              </w:rPr>
              <w:t>Creator interview + primary release</w:t>
            </w:r>
          </w:p>
        </w:tc>
        <w:tc>
          <w:tcPr>
            <w:tcW w:type="dxa" w:w="1872"/>
          </w:tcPr>
          <w:p>
            <w:pPr>
              <w:spacing w:after="40"/>
            </w:pPr>
            <w:r>
              <w:rPr>
                <w:rFonts w:ascii="Times New Roman" w:hAnsi="Times New Roman"/>
                <w:sz w:val="18"/>
              </w:rPr>
              <w:t>Secure</w:t>
            </w:r>
          </w:p>
        </w:tc>
      </w:tr>
      <w:tr>
        <w:tc>
          <w:tcPr>
            <w:tcW w:type="dxa" w:w="3312"/>
          </w:tcPr>
          <w:p>
            <w:pPr>
              <w:spacing w:after="40"/>
            </w:pPr>
            <w:r>
              <w:rPr>
                <w:rFonts w:ascii="Times New Roman" w:hAnsi="Times New Roman"/>
                <w:sz w:val="18"/>
              </w:rPr>
              <w:t>Official release 7 Feb 2025 (Priority Records)</w:t>
            </w:r>
          </w:p>
        </w:tc>
        <w:tc>
          <w:tcPr>
            <w:tcW w:type="dxa" w:w="3024"/>
          </w:tcPr>
          <w:p>
            <w:pPr>
              <w:spacing w:after="40"/>
            </w:pPr>
            <w:r>
              <w:rPr>
                <w:rFonts w:ascii="Times New Roman" w:hAnsi="Times New Roman"/>
                <w:sz w:val="18"/>
              </w:rPr>
              <w:t>Skrilla, 2025; Bleacher Report, n.d.</w:t>
            </w:r>
          </w:p>
        </w:tc>
        <w:tc>
          <w:tcPr>
            <w:tcW w:type="dxa" w:w="1872"/>
          </w:tcPr>
          <w:p>
            <w:pPr>
              <w:spacing w:after="40"/>
            </w:pPr>
            <w:r>
              <w:rPr>
                <w:rFonts w:ascii="Times New Roman" w:hAnsi="Times New Roman"/>
                <w:sz w:val="18"/>
              </w:rPr>
              <w:t>Primary release + press</w:t>
            </w:r>
          </w:p>
        </w:tc>
        <w:tc>
          <w:tcPr>
            <w:tcW w:type="dxa" w:w="1872"/>
          </w:tcPr>
          <w:p>
            <w:pPr>
              <w:spacing w:after="40"/>
            </w:pPr>
            <w:r>
              <w:rPr>
                <w:rFonts w:ascii="Times New Roman" w:hAnsi="Times New Roman"/>
                <w:sz w:val="18"/>
              </w:rPr>
              <w:t>Secure</w:t>
            </w:r>
          </w:p>
        </w:tc>
      </w:tr>
      <w:tr>
        <w:tc>
          <w:tcPr>
            <w:tcW w:type="dxa" w:w="3312"/>
          </w:tcPr>
          <w:p>
            <w:pPr>
              <w:spacing w:after="40"/>
            </w:pPr>
            <w:r>
              <w:rPr>
                <w:rFonts w:ascii="Times New Roman" w:hAnsi="Times New Roman"/>
                <w:sz w:val="18"/>
              </w:rPr>
              <w:t>Has no fixed/definable meaning</w:t>
            </w:r>
          </w:p>
        </w:tc>
        <w:tc>
          <w:tcPr>
            <w:tcW w:type="dxa" w:w="3024"/>
          </w:tcPr>
          <w:p>
            <w:pPr>
              <w:spacing w:after="40"/>
            </w:pPr>
            <w:r>
              <w:rPr>
                <w:rFonts w:ascii="Times New Roman" w:hAnsi="Times New Roman"/>
                <w:sz w:val="18"/>
              </w:rPr>
              <w:t>Dictionary.com, 2025; Skrilla in Complex, 2025</w:t>
            </w:r>
          </w:p>
        </w:tc>
        <w:tc>
          <w:tcPr>
            <w:tcW w:type="dxa" w:w="1872"/>
          </w:tcPr>
          <w:p>
            <w:pPr>
              <w:spacing w:after="40"/>
            </w:pPr>
            <w:r>
              <w:rPr>
                <w:rFonts w:ascii="Times New Roman" w:hAnsi="Times New Roman"/>
                <w:sz w:val="18"/>
              </w:rPr>
              <w:t>Lexicographic + creator</w:t>
            </w:r>
          </w:p>
        </w:tc>
        <w:tc>
          <w:tcPr>
            <w:tcW w:type="dxa" w:w="1872"/>
          </w:tcPr>
          <w:p>
            <w:pPr>
              <w:spacing w:after="40"/>
            </w:pPr>
            <w:r>
              <w:rPr>
                <w:rFonts w:ascii="Times New Roman" w:hAnsi="Times New Roman"/>
                <w:sz w:val="18"/>
              </w:rPr>
              <w:t>Secure</w:t>
            </w:r>
          </w:p>
        </w:tc>
      </w:tr>
      <w:tr>
        <w:tc>
          <w:tcPr>
            <w:tcW w:type="dxa" w:w="3312"/>
          </w:tcPr>
          <w:p>
            <w:pPr>
              <w:spacing w:after="40"/>
            </w:pPr>
            <w:r>
              <w:rPr>
                <w:rFonts w:ascii="Times New Roman" w:hAnsi="Times New Roman"/>
                <w:sz w:val="18"/>
              </w:rPr>
              <w:t>Spread via basketball / LaMelo Ball (6′7″)</w:t>
            </w:r>
          </w:p>
        </w:tc>
        <w:tc>
          <w:tcPr>
            <w:tcW w:type="dxa" w:w="3024"/>
          </w:tcPr>
          <w:p>
            <w:pPr>
              <w:spacing w:after="40"/>
            </w:pPr>
            <w:r>
              <w:rPr>
                <w:rFonts w:ascii="Times New Roman" w:hAnsi="Times New Roman"/>
                <w:sz w:val="18"/>
              </w:rPr>
              <w:t>Bleacher Report, n.d.; CNN, 2025</w:t>
            </w:r>
          </w:p>
        </w:tc>
        <w:tc>
          <w:tcPr>
            <w:tcW w:type="dxa" w:w="1872"/>
          </w:tcPr>
          <w:p>
            <w:pPr>
              <w:spacing w:after="40"/>
            </w:pPr>
            <w:r>
              <w:rPr>
                <w:rFonts w:ascii="Times New Roman" w:hAnsi="Times New Roman"/>
                <w:sz w:val="18"/>
              </w:rPr>
              <w:t>Reputable press</w:t>
            </w:r>
          </w:p>
        </w:tc>
        <w:tc>
          <w:tcPr>
            <w:tcW w:type="dxa" w:w="1872"/>
          </w:tcPr>
          <w:p>
            <w:pPr>
              <w:spacing w:after="40"/>
            </w:pPr>
            <w:r>
              <w:rPr>
                <w:rFonts w:ascii="Times New Roman" w:hAnsi="Times New Roman"/>
                <w:sz w:val="18"/>
              </w:rPr>
              <w:t>Secure</w:t>
            </w:r>
          </w:p>
        </w:tc>
      </w:tr>
      <w:tr>
        <w:tc>
          <w:tcPr>
            <w:tcW w:type="dxa" w:w="3312"/>
          </w:tcPr>
          <w:p>
            <w:pPr>
              <w:spacing w:after="40"/>
            </w:pPr>
            <w:r>
              <w:rPr>
                <w:rFonts w:ascii="Times New Roman" w:hAnsi="Times New Roman"/>
                <w:sz w:val="18"/>
              </w:rPr>
              <w:t>“67 Kid” video, 31 Mar 2025 (Cam Wilder)</w:t>
            </w:r>
          </w:p>
        </w:tc>
        <w:tc>
          <w:tcPr>
            <w:tcW w:type="dxa" w:w="3024"/>
          </w:tcPr>
          <w:p>
            <w:pPr>
              <w:spacing w:after="40"/>
            </w:pPr>
            <w:r>
              <w:rPr>
                <w:rFonts w:ascii="Times New Roman" w:hAnsi="Times New Roman"/>
                <w:sz w:val="18"/>
              </w:rPr>
              <w:t>Know Your Meme, n.d.</w:t>
            </w:r>
          </w:p>
        </w:tc>
        <w:tc>
          <w:tcPr>
            <w:tcW w:type="dxa" w:w="1872"/>
          </w:tcPr>
          <w:p>
            <w:pPr>
              <w:spacing w:after="40"/>
            </w:pPr>
            <w:r>
              <w:rPr>
                <w:rFonts w:ascii="Times New Roman" w:hAnsi="Times New Roman"/>
                <w:sz w:val="18"/>
              </w:rPr>
              <w:t>Edited meme database</w:t>
            </w:r>
          </w:p>
        </w:tc>
        <w:tc>
          <w:tcPr>
            <w:tcW w:type="dxa" w:w="1872"/>
          </w:tcPr>
          <w:p>
            <w:pPr>
              <w:spacing w:after="40"/>
            </w:pPr>
            <w:r>
              <w:rPr>
                <w:rFonts w:ascii="Times New Roman" w:hAnsi="Times New Roman"/>
                <w:sz w:val="18"/>
              </w:rPr>
              <w:t>Strong (surname spelling varies)</w:t>
            </w:r>
          </w:p>
        </w:tc>
      </w:tr>
      <w:tr>
        <w:tc>
          <w:tcPr>
            <w:tcW w:type="dxa" w:w="3312"/>
          </w:tcPr>
          <w:p>
            <w:pPr>
              <w:spacing w:after="40"/>
            </w:pPr>
            <w:r>
              <w:rPr>
                <w:rFonts w:ascii="Times New Roman" w:hAnsi="Times New Roman"/>
                <w:sz w:val="18"/>
              </w:rPr>
              <w:t>Dictionary.com WOTY 2025; “impossible to define”</w:t>
            </w:r>
          </w:p>
        </w:tc>
        <w:tc>
          <w:tcPr>
            <w:tcW w:type="dxa" w:w="3024"/>
          </w:tcPr>
          <w:p>
            <w:pPr>
              <w:spacing w:after="40"/>
            </w:pPr>
            <w:r>
              <w:rPr>
                <w:rFonts w:ascii="Times New Roman" w:hAnsi="Times New Roman"/>
                <w:sz w:val="18"/>
              </w:rPr>
              <w:t>Dictionary.com, 2025; Smithsonian, 2025; NPR, 2025</w:t>
            </w:r>
          </w:p>
        </w:tc>
        <w:tc>
          <w:tcPr>
            <w:tcW w:type="dxa" w:w="1872"/>
          </w:tcPr>
          <w:p>
            <w:pPr>
              <w:spacing w:after="40"/>
            </w:pPr>
            <w:r>
              <w:rPr>
                <w:rFonts w:ascii="Times New Roman" w:hAnsi="Times New Roman"/>
                <w:sz w:val="18"/>
              </w:rPr>
              <w:t>Lexicographer statement</w:t>
            </w:r>
          </w:p>
        </w:tc>
        <w:tc>
          <w:tcPr>
            <w:tcW w:type="dxa" w:w="1872"/>
          </w:tcPr>
          <w:p>
            <w:pPr>
              <w:spacing w:after="40"/>
            </w:pPr>
            <w:r>
              <w:rPr>
                <w:rFonts w:ascii="Times New Roman" w:hAnsi="Times New Roman"/>
                <w:sz w:val="18"/>
              </w:rPr>
              <w:t>Secure</w:t>
            </w:r>
          </w:p>
        </w:tc>
      </w:tr>
      <w:tr>
        <w:tc>
          <w:tcPr>
            <w:tcW w:type="dxa" w:w="3312"/>
          </w:tcPr>
          <w:p>
            <w:pPr>
              <w:spacing w:after="40"/>
            </w:pPr>
            <w:r>
              <w:rPr>
                <w:rFonts w:ascii="Times New Roman" w:hAnsi="Times New Roman"/>
                <w:sz w:val="18"/>
              </w:rPr>
              <w:t>Functions as a shibboleth via “semantic bleaching”</w:t>
            </w:r>
          </w:p>
        </w:tc>
        <w:tc>
          <w:tcPr>
            <w:tcW w:type="dxa" w:w="3024"/>
          </w:tcPr>
          <w:p>
            <w:pPr>
              <w:spacing w:after="40"/>
            </w:pPr>
            <w:r>
              <w:rPr>
                <w:rFonts w:ascii="Times New Roman" w:hAnsi="Times New Roman"/>
                <w:sz w:val="18"/>
              </w:rPr>
              <w:t>Taylor Jones in CNN, 2025</w:t>
            </w:r>
          </w:p>
        </w:tc>
        <w:tc>
          <w:tcPr>
            <w:tcW w:type="dxa" w:w="1872"/>
          </w:tcPr>
          <w:p>
            <w:pPr>
              <w:spacing w:after="40"/>
            </w:pPr>
            <w:r>
              <w:rPr>
                <w:rFonts w:ascii="Times New Roman" w:hAnsi="Times New Roman"/>
                <w:sz w:val="18"/>
              </w:rPr>
              <w:t>Named linguist (press)</w:t>
            </w:r>
          </w:p>
        </w:tc>
        <w:tc>
          <w:tcPr>
            <w:tcW w:type="dxa" w:w="1872"/>
          </w:tcPr>
          <w:p>
            <w:pPr>
              <w:spacing w:after="40"/>
            </w:pPr>
            <w:r>
              <w:rPr>
                <w:rFonts w:ascii="Times New Roman" w:hAnsi="Times New Roman"/>
                <w:sz w:val="18"/>
              </w:rPr>
              <w:t>Secure</w:t>
            </w:r>
          </w:p>
        </w:tc>
      </w:tr>
      <w:tr>
        <w:tc>
          <w:tcPr>
            <w:tcW w:type="dxa" w:w="3312"/>
          </w:tcPr>
          <w:p>
            <w:pPr>
              <w:spacing w:after="40"/>
            </w:pPr>
            <w:r>
              <w:rPr>
                <w:rFonts w:ascii="Times New Roman" w:hAnsi="Times New Roman"/>
                <w:sz w:val="18"/>
              </w:rPr>
              <w:t>“Void of semantic meaning”; carries social meaning</w:t>
            </w:r>
          </w:p>
        </w:tc>
        <w:tc>
          <w:tcPr>
            <w:tcW w:type="dxa" w:w="3024"/>
          </w:tcPr>
          <w:p>
            <w:pPr>
              <w:spacing w:after="40"/>
            </w:pPr>
            <w:r>
              <w:rPr>
                <w:rFonts w:ascii="Times New Roman" w:hAnsi="Times New Roman"/>
                <w:sz w:val="18"/>
              </w:rPr>
              <w:t>Fridland, 2026</w:t>
            </w:r>
          </w:p>
        </w:tc>
        <w:tc>
          <w:tcPr>
            <w:tcW w:type="dxa" w:w="1872"/>
          </w:tcPr>
          <w:p>
            <w:pPr>
              <w:spacing w:after="40"/>
            </w:pPr>
            <w:r>
              <w:rPr>
                <w:rFonts w:ascii="Times New Roman" w:hAnsi="Times New Roman"/>
                <w:sz w:val="18"/>
              </w:rPr>
              <w:t>Named linguist (academic outlet)</w:t>
            </w:r>
          </w:p>
        </w:tc>
        <w:tc>
          <w:tcPr>
            <w:tcW w:type="dxa" w:w="1872"/>
          </w:tcPr>
          <w:p>
            <w:pPr>
              <w:spacing w:after="40"/>
            </w:pPr>
            <w:r>
              <w:rPr>
                <w:rFonts w:ascii="Times New Roman" w:hAnsi="Times New Roman"/>
                <w:sz w:val="18"/>
              </w:rPr>
              <w:t>Secure</w:t>
            </w:r>
          </w:p>
        </w:tc>
      </w:tr>
      <w:tr>
        <w:tc>
          <w:tcPr>
            <w:tcW w:type="dxa" w:w="3312"/>
          </w:tcPr>
          <w:p>
            <w:pPr>
              <w:spacing w:after="40"/>
            </w:pPr>
            <w:r>
              <w:rPr>
                <w:rFonts w:ascii="Times New Roman" w:hAnsi="Times New Roman"/>
                <w:i/>
                <w:sz w:val="18"/>
              </w:rPr>
              <w:t>10-67</w:t>
            </w:r>
            <w:r>
              <w:rPr>
                <w:rFonts w:ascii="Times New Roman" w:hAnsi="Times New Roman"/>
                <w:sz w:val="18"/>
              </w:rPr>
              <w:t xml:space="preserve"> police-code etymology</w:t>
            </w:r>
          </w:p>
        </w:tc>
        <w:tc>
          <w:tcPr>
            <w:tcW w:type="dxa" w:w="3024"/>
          </w:tcPr>
          <w:p>
            <w:pPr>
              <w:spacing w:after="40"/>
            </w:pPr>
            <w:r>
              <w:rPr>
                <w:rFonts w:ascii="Times New Roman" w:hAnsi="Times New Roman"/>
                <w:sz w:val="18"/>
              </w:rPr>
              <w:t>Taylor Jones in CNN, 2025 (speculation)</w:t>
            </w:r>
          </w:p>
        </w:tc>
        <w:tc>
          <w:tcPr>
            <w:tcW w:type="dxa" w:w="1872"/>
          </w:tcPr>
          <w:p>
            <w:pPr>
              <w:spacing w:after="40"/>
            </w:pPr>
            <w:r>
              <w:rPr>
                <w:rFonts w:ascii="Times New Roman" w:hAnsi="Times New Roman"/>
                <w:sz w:val="18"/>
              </w:rPr>
              <w:t>Linguist conjecture</w:t>
            </w:r>
          </w:p>
        </w:tc>
        <w:tc>
          <w:tcPr>
            <w:tcW w:type="dxa" w:w="1872"/>
          </w:tcPr>
          <w:p>
            <w:pPr>
              <w:spacing w:after="40"/>
            </w:pPr>
            <w:r>
              <w:rPr>
                <w:rFonts w:ascii="Times New Roman" w:hAnsi="Times New Roman"/>
                <w:sz w:val="18"/>
              </w:rPr>
              <w:t>Conjecture — report as such</w:t>
            </w:r>
          </w:p>
        </w:tc>
      </w:tr>
      <w:tr>
        <w:tc>
          <w:tcPr>
            <w:tcW w:type="dxa" w:w="3312"/>
          </w:tcPr>
          <w:p>
            <w:pPr>
              <w:spacing w:after="40"/>
            </w:pPr>
            <w:r>
              <w:rPr>
                <w:rFonts w:ascii="Times New Roman" w:hAnsi="Times New Roman"/>
                <w:sz w:val="18"/>
              </w:rPr>
              <w:t>Phatic-communion / phatic-function definitions</w:t>
            </w:r>
          </w:p>
        </w:tc>
        <w:tc>
          <w:tcPr>
            <w:tcW w:type="dxa" w:w="3024"/>
          </w:tcPr>
          <w:p>
            <w:pPr>
              <w:spacing w:after="40"/>
            </w:pPr>
            <w:r>
              <w:rPr>
                <w:rFonts w:ascii="Times New Roman" w:hAnsi="Times New Roman"/>
                <w:sz w:val="18"/>
              </w:rPr>
              <w:t>Malinowski, 1923; Jakobson, 1960</w:t>
            </w:r>
          </w:p>
        </w:tc>
        <w:tc>
          <w:tcPr>
            <w:tcW w:type="dxa" w:w="1872"/>
          </w:tcPr>
          <w:p>
            <w:pPr>
              <w:spacing w:after="40"/>
            </w:pPr>
            <w:r>
              <w:rPr>
                <w:rFonts w:ascii="Times New Roman" w:hAnsi="Times New Roman"/>
                <w:sz w:val="18"/>
              </w:rPr>
              <w:t>Primary text</w:t>
            </w:r>
          </w:p>
        </w:tc>
        <w:tc>
          <w:tcPr>
            <w:tcW w:type="dxa" w:w="1872"/>
          </w:tcPr>
          <w:p>
            <w:pPr>
              <w:spacing w:after="40"/>
            </w:pPr>
            <w:r>
              <w:rPr>
                <w:rFonts w:ascii="Times New Roman" w:hAnsi="Times New Roman"/>
                <w:sz w:val="18"/>
              </w:rPr>
              <w:t>Secure (verbatim)</w:t>
            </w:r>
          </w:p>
        </w:tc>
      </w:tr>
      <w:tr>
        <w:tc>
          <w:tcPr>
            <w:tcW w:type="dxa" w:w="3312"/>
          </w:tcPr>
          <w:p>
            <w:pPr>
              <w:spacing w:after="40"/>
            </w:pPr>
            <w:r>
              <w:rPr>
                <w:rFonts w:ascii="Times New Roman" w:hAnsi="Times New Roman"/>
                <w:sz w:val="18"/>
              </w:rPr>
              <w:t>“Meaning is use” (§43)</w:t>
            </w:r>
          </w:p>
        </w:tc>
        <w:tc>
          <w:tcPr>
            <w:tcW w:type="dxa" w:w="3024"/>
          </w:tcPr>
          <w:p>
            <w:pPr>
              <w:spacing w:after="40"/>
            </w:pPr>
            <w:r>
              <w:rPr>
                <w:rFonts w:ascii="Times New Roman" w:hAnsi="Times New Roman"/>
                <w:sz w:val="18"/>
              </w:rPr>
              <w:t>Wittgenstein, 1953</w:t>
            </w:r>
          </w:p>
        </w:tc>
        <w:tc>
          <w:tcPr>
            <w:tcW w:type="dxa" w:w="1872"/>
          </w:tcPr>
          <w:p>
            <w:pPr>
              <w:spacing w:after="40"/>
            </w:pPr>
            <w:r>
              <w:rPr>
                <w:rFonts w:ascii="Times New Roman" w:hAnsi="Times New Roman"/>
                <w:sz w:val="18"/>
              </w:rPr>
              <w:t>Primary text</w:t>
            </w:r>
          </w:p>
        </w:tc>
        <w:tc>
          <w:tcPr>
            <w:tcW w:type="dxa" w:w="1872"/>
          </w:tcPr>
          <w:p>
            <w:pPr>
              <w:spacing w:after="40"/>
            </w:pPr>
            <w:r>
              <w:rPr>
                <w:rFonts w:ascii="Times New Roman" w:hAnsi="Times New Roman"/>
                <w:sz w:val="18"/>
              </w:rPr>
              <w:t>Secure (Anscombe trans.)</w:t>
            </w:r>
          </w:p>
        </w:tc>
      </w:tr>
      <w:tr>
        <w:tc>
          <w:tcPr>
            <w:tcW w:type="dxa" w:w="3312"/>
          </w:tcPr>
          <w:p>
            <w:pPr>
              <w:spacing w:after="40"/>
            </w:pPr>
            <w:r>
              <w:rPr>
                <w:rFonts w:ascii="Times New Roman" w:hAnsi="Times New Roman"/>
                <w:sz w:val="18"/>
              </w:rPr>
              <w:t>Expressives are non-truth-conditional / use-conditional</w:t>
            </w:r>
          </w:p>
        </w:tc>
        <w:tc>
          <w:tcPr>
            <w:tcW w:type="dxa" w:w="3024"/>
          </w:tcPr>
          <w:p>
            <w:pPr>
              <w:spacing w:after="40"/>
            </w:pPr>
            <w:r>
              <w:rPr>
                <w:rFonts w:ascii="Times New Roman" w:hAnsi="Times New Roman"/>
                <w:sz w:val="18"/>
              </w:rPr>
              <w:t>Potts, 2005, 2007; Kaplan, 1999; Gutzmann, 2015</w:t>
            </w:r>
          </w:p>
        </w:tc>
        <w:tc>
          <w:tcPr>
            <w:tcW w:type="dxa" w:w="1872"/>
          </w:tcPr>
          <w:p>
            <w:pPr>
              <w:spacing w:after="40"/>
            </w:pPr>
            <w:r>
              <w:rPr>
                <w:rFonts w:ascii="Times New Roman" w:hAnsi="Times New Roman"/>
                <w:sz w:val="18"/>
              </w:rPr>
              <w:t>Peer-reviewed / primary</w:t>
            </w:r>
          </w:p>
        </w:tc>
        <w:tc>
          <w:tcPr>
            <w:tcW w:type="dxa" w:w="1872"/>
          </w:tcPr>
          <w:p>
            <w:pPr>
              <w:spacing w:after="40"/>
            </w:pPr>
            <w:r>
              <w:rPr>
                <w:rFonts w:ascii="Times New Roman" w:hAnsi="Times New Roman"/>
                <w:sz w:val="18"/>
              </w:rPr>
              <w:t>Secure</w:t>
            </w:r>
          </w:p>
        </w:tc>
      </w:tr>
      <w:tr>
        <w:tc>
          <w:tcPr>
            <w:tcW w:type="dxa" w:w="3312"/>
          </w:tcPr>
          <w:p>
            <w:pPr>
              <w:spacing w:after="40"/>
            </w:pPr>
            <w:r>
              <w:rPr>
                <w:rFonts w:ascii="Times New Roman" w:hAnsi="Times New Roman"/>
                <w:sz w:val="18"/>
              </w:rPr>
              <w:t>“Indexical field” coined by Eckert</w:t>
            </w:r>
          </w:p>
        </w:tc>
        <w:tc>
          <w:tcPr>
            <w:tcW w:type="dxa" w:w="3024"/>
          </w:tcPr>
          <w:p>
            <w:pPr>
              <w:spacing w:after="40"/>
            </w:pPr>
            <w:r>
              <w:rPr>
                <w:rFonts w:ascii="Times New Roman" w:hAnsi="Times New Roman"/>
                <w:sz w:val="18"/>
              </w:rPr>
              <w:t>Eckert, 2008</w:t>
            </w:r>
          </w:p>
        </w:tc>
        <w:tc>
          <w:tcPr>
            <w:tcW w:type="dxa" w:w="1872"/>
          </w:tcPr>
          <w:p>
            <w:pPr>
              <w:spacing w:after="40"/>
            </w:pPr>
            <w:r>
              <w:rPr>
                <w:rFonts w:ascii="Times New Roman" w:hAnsi="Times New Roman"/>
                <w:sz w:val="18"/>
              </w:rPr>
              <w:t>Peer-reviewed</w:t>
            </w:r>
          </w:p>
        </w:tc>
        <w:tc>
          <w:tcPr>
            <w:tcW w:type="dxa" w:w="1872"/>
          </w:tcPr>
          <w:p>
            <w:pPr>
              <w:spacing w:after="40"/>
            </w:pPr>
            <w:r>
              <w:rPr>
                <w:rFonts w:ascii="Times New Roman" w:hAnsi="Times New Roman"/>
                <w:sz w:val="18"/>
              </w:rPr>
              <w:t>Secure (corrected from 2018)</w:t>
            </w:r>
          </w:p>
        </w:tc>
      </w:tr>
      <w:tr>
        <w:tc>
          <w:tcPr>
            <w:tcW w:type="dxa" w:w="3312"/>
          </w:tcPr>
          <w:p>
            <w:pPr>
              <w:spacing w:after="40"/>
            </w:pPr>
            <w:r>
              <w:rPr>
                <w:rFonts w:ascii="Times New Roman" w:hAnsi="Times New Roman"/>
                <w:sz w:val="18"/>
              </w:rPr>
              <w:t>Firth “company it keeps” source</w:t>
            </w:r>
          </w:p>
        </w:tc>
        <w:tc>
          <w:tcPr>
            <w:tcW w:type="dxa" w:w="3024"/>
          </w:tcPr>
          <w:p>
            <w:pPr>
              <w:spacing w:after="40"/>
            </w:pPr>
            <w:r>
              <w:rPr>
                <w:rFonts w:ascii="Times New Roman" w:hAnsi="Times New Roman"/>
                <w:sz w:val="18"/>
              </w:rPr>
              <w:t>Firth, 1957 (Synopsis)</w:t>
            </w:r>
          </w:p>
        </w:tc>
        <w:tc>
          <w:tcPr>
            <w:tcW w:type="dxa" w:w="1872"/>
          </w:tcPr>
          <w:p>
            <w:pPr>
              <w:spacing w:after="40"/>
            </w:pPr>
            <w:r>
              <w:rPr>
                <w:rFonts w:ascii="Times New Roman" w:hAnsi="Times New Roman"/>
                <w:sz w:val="18"/>
              </w:rPr>
              <w:t>Primary</w:t>
            </w:r>
          </w:p>
        </w:tc>
        <w:tc>
          <w:tcPr>
            <w:tcW w:type="dxa" w:w="1872"/>
          </w:tcPr>
          <w:p>
            <w:pPr>
              <w:spacing w:after="40"/>
            </w:pPr>
            <w:r>
              <w:rPr>
                <w:rFonts w:ascii="Times New Roman" w:hAnsi="Times New Roman"/>
                <w:sz w:val="18"/>
              </w:rPr>
              <w:t>Secure (corrected source)</w:t>
            </w:r>
          </w:p>
        </w:tc>
      </w:tr>
    </w:tbl>
    <w:p>
      <w:pPr>
        <w:spacing w:before="0" w:after="120" w:line="240" w:lineRule="auto"/>
      </w:pPr>
      <w:r>
        <w:rPr>
          <w:rFonts w:ascii="Times New Roman" w:hAnsi="Times New Roman"/>
          <w:i/>
          <w:sz w:val="18"/>
        </w:rPr>
        <w:t xml:space="preserve">Note. </w:t>
      </w:r>
      <w:r>
        <w:rPr>
          <w:rFonts w:ascii="Times New Roman" w:hAnsi="Times New Roman"/>
          <w:i/>
          <w:sz w:val="18"/>
        </w:rPr>
        <w:t>“Tier” indicates source type; “Status” reports the outcome of the adversarial verification pass (Section 2). “Secure” = corroborated across independent sources or verified verbatim; “Strong” = well-attested with a minor residual uncertainty; “Conjecture” = unverified and flagged as such.</w:t>
      </w:r>
    </w:p>
    <w:p>
      <w:pPr>
        <w:spacing w:before="240" w:after="80" w:line="240" w:lineRule="auto"/>
      </w:pPr>
      <w:r>
        <w:rPr>
          <w:rFonts w:ascii="Times New Roman" w:hAnsi="Times New Roman"/>
          <w:b/>
          <w:sz w:val="26"/>
        </w:rPr>
        <w:t>3. The “6-7” Phenomenon: Origins and the Skrilla Source</w:t>
      </w:r>
    </w:p>
    <w:p>
      <w:pPr>
        <w:spacing w:before="0" w:after="120" w:line="240" w:lineRule="auto"/>
        <w:jc w:val="both"/>
      </w:pPr>
      <w:r>
        <w:rPr>
          <w:rFonts w:ascii="Times New Roman" w:hAnsi="Times New Roman"/>
          <w:sz w:val="22"/>
        </w:rPr>
        <w:t xml:space="preserve">The proximate origin of </w:t>
      </w:r>
      <w:r>
        <w:rPr>
          <w:rFonts w:ascii="Times New Roman" w:hAnsi="Times New Roman"/>
          <w:i/>
          <w:sz w:val="22"/>
        </w:rPr>
        <w:t>6-7</w:t>
      </w:r>
      <w:r>
        <w:rPr>
          <w:rFonts w:ascii="Times New Roman" w:hAnsi="Times New Roman"/>
          <w:sz w:val="22"/>
        </w:rPr>
        <w:t xml:space="preserve"> is “Doot Doot (6 7),” a Philadelphia drill song by the rapper Skrilla (produced by 1Ellis). The track leaked to streaming platforms in December 2024 and was officially released via Priority Records on 7 February 2025, later appearing on the deluxe edition of Skrilla’s </w:t>
      </w:r>
      <w:r>
        <w:rPr>
          <w:rFonts w:ascii="Times New Roman" w:hAnsi="Times New Roman"/>
          <w:i/>
          <w:sz w:val="22"/>
        </w:rPr>
        <w:t>Zombie Love Kensington Paradise</w:t>
      </w:r>
      <w:r>
        <w:rPr>
          <w:rFonts w:ascii="Times New Roman" w:hAnsi="Times New Roman"/>
          <w:sz w:val="22"/>
        </w:rPr>
        <w:t xml:space="preserve"> (Skrilla, 2025; Complex, 2025). Crucially, the phrase was born semantically underdetermined: Skrilla has declined to fix its meaning, reportedly saying “I never put an actual meaning on it, and I still would not want to,” and elsewhere describing it as representing “what comes up in my head” (Complex, 2025; WHYY, 2025). Proposed sources—a Philadelphia or Chicago street, or, per linguist Taylor Jones, the police ten-code </w:t>
      </w:r>
      <w:r>
        <w:rPr>
          <w:rFonts w:ascii="Times New Roman" w:hAnsi="Times New Roman"/>
          <w:i/>
          <w:sz w:val="22"/>
        </w:rPr>
        <w:t>10-67</w:t>
      </w:r>
      <w:r>
        <w:rPr>
          <w:rFonts w:ascii="Times New Roman" w:hAnsi="Times New Roman"/>
          <w:sz w:val="22"/>
        </w:rPr>
        <w:t xml:space="preserve"> used to report a death—remain speculative (CNN, 2025) and are reported here as conjecture (Table 1). The indeterminacy is not a gap in our knowledge; it is constitutive of the term.</w:t>
      </w:r>
    </w:p>
    <w:p>
      <w:pPr>
        <w:spacing w:before="240" w:after="80" w:line="240" w:lineRule="auto"/>
      </w:pPr>
      <w:r>
        <w:rPr>
          <w:rFonts w:ascii="Times New Roman" w:hAnsi="Times New Roman"/>
          <w:b/>
          <w:sz w:val="26"/>
        </w:rPr>
        <w:t>4. Spread: Basketball, the “67 Kid,” and Viral Saturation</w:t>
      </w:r>
    </w:p>
    <w:p>
      <w:pPr>
        <w:spacing w:before="0" w:after="120" w:line="240" w:lineRule="auto"/>
        <w:jc w:val="both"/>
      </w:pPr>
      <w:r>
        <w:rPr>
          <w:rFonts w:ascii="Times New Roman" w:hAnsi="Times New Roman"/>
          <w:sz w:val="22"/>
        </w:rPr>
        <w:t xml:space="preserve">The phrase migrated from music to mass meme through basketball. Highlight edits paired the lyric with footage of players listed at six-foot-seven, most prominently LaMelo Ball (2.01 m), exploiting the literal height coincidence (Bleacher Report, n.d.). On 31 March 2025 a YouTube AAU-basketball video by Cam Wilder featured a young boy—later dubbed the “67 Kid”—shouting “six seven” with a palms-up, alternating up-and-down hand gesture; the clip became a primary vector of virality (Know Your Meme, n.d.). By autumn 2025 the term saturated NBA and WNBA media, NFL celebrations, and celebrity content—Shaquille O’Neal reportedly joined in while admitting he did not understand it, a telling detail for a term whose use is detached from comprehension. Dictionary.com (2025) reported that </w:t>
      </w:r>
      <w:r>
        <w:rPr>
          <w:rFonts w:ascii="Times New Roman" w:hAnsi="Times New Roman"/>
          <w:i/>
          <w:sz w:val="22"/>
        </w:rPr>
        <w:t>67</w:t>
      </w:r>
      <w:r>
        <w:rPr>
          <w:rFonts w:ascii="Times New Roman" w:hAnsi="Times New Roman"/>
          <w:sz w:val="22"/>
        </w:rPr>
        <w:t xml:space="preserve"> appeared in digital media roughly six times more frequently in October 2025 than across all of 2024, with searches up more than sixfold since June 2025 (Figure 2).</w:t>
      </w:r>
    </w:p>
    <w:p>
      <w:pPr>
        <w:spacing w:before="160" w:after="40" w:line="240" w:lineRule="auto"/>
        <w:jc w:val="center"/>
      </w:pPr>
      <w:r>
        <w:drawing>
          <wp:inline xmlns:a="http://schemas.openxmlformats.org/drawingml/2006/main" xmlns:pic="http://schemas.openxmlformats.org/drawingml/2006/picture">
            <wp:extent cx="5394960" cy="2312126"/>
            <wp:docPr id="2" name="Picture 2"/>
            <wp:cNvGraphicFramePr>
              <a:graphicFrameLocks noChangeAspect="1"/>
            </wp:cNvGraphicFramePr>
            <a:graphic>
              <a:graphicData uri="http://schemas.openxmlformats.org/drawingml/2006/picture">
                <pic:pic>
                  <pic:nvPicPr>
                    <pic:cNvPr id="0" name="fig2_timeline.png"/>
                    <pic:cNvPicPr/>
                  </pic:nvPicPr>
                  <pic:blipFill>
                    <a:blip r:embed="rId10"/>
                    <a:stretch>
                      <a:fillRect/>
                    </a:stretch>
                  </pic:blipFill>
                  <pic:spPr>
                    <a:xfrm>
                      <a:off x="0" y="0"/>
                      <a:ext cx="5394960" cy="2312126"/>
                    </a:xfrm>
                    <a:prstGeom prst="rect"/>
                  </pic:spPr>
                </pic:pic>
              </a:graphicData>
            </a:graphic>
          </wp:inline>
        </w:drawing>
      </w:r>
    </w:p>
    <w:p>
      <w:pPr>
        <w:spacing w:before="0" w:after="160" w:line="240" w:lineRule="auto"/>
        <w:jc w:val="center"/>
      </w:pPr>
      <w:r>
        <w:rPr>
          <w:rFonts w:ascii="Times New Roman" w:hAnsi="Times New Roman"/>
          <w:b/>
          <w:sz w:val="18"/>
        </w:rPr>
        <w:t>Figure 2. Timeline of the “6-7” meme, December 2024–November 2025.</w:t>
      </w:r>
    </w:p>
    <w:p>
      <w:pPr>
        <w:spacing w:before="240" w:after="80" w:line="240" w:lineRule="auto"/>
      </w:pPr>
      <w:r>
        <w:rPr>
          <w:rFonts w:ascii="Times New Roman" w:hAnsi="Times New Roman"/>
          <w:b/>
          <w:sz w:val="26"/>
        </w:rPr>
        <w:t>5. Reception and the In-Group/Out-Group Line</w:t>
      </w:r>
    </w:p>
    <w:p>
      <w:pPr>
        <w:spacing w:before="0" w:after="120" w:line="240" w:lineRule="auto"/>
        <w:jc w:val="both"/>
      </w:pPr>
      <w:r>
        <w:rPr>
          <w:rFonts w:ascii="Times New Roman" w:hAnsi="Times New Roman"/>
          <w:sz w:val="22"/>
        </w:rPr>
        <w:t xml:space="preserve">In use, </w:t>
      </w:r>
      <w:r>
        <w:rPr>
          <w:rFonts w:ascii="Times New Roman" w:hAnsi="Times New Roman"/>
          <w:i/>
          <w:sz w:val="22"/>
        </w:rPr>
        <w:t>6-7</w:t>
      </w:r>
      <w:r>
        <w:rPr>
          <w:rFonts w:ascii="Times New Roman" w:hAnsi="Times New Roman"/>
          <w:sz w:val="22"/>
        </w:rPr>
        <w:t xml:space="preserve"> functions as an interjection or non-sequitur—shouted on hearing either number, deployed as a punchline, or chanted communally—rather than as a contentful predicate. It is loosely glossed as “so-so” or “maybe this, maybe that,” mirrored by the see-sawing gesture, but the gloss is post-hoc and unstable (Dictionary.com, 2025). Reception data reinforce an in-group/out-group dynamic: teachers have banned the phrase and tallied its frequency (one Sioux Falls science teacher, Gabe Dannenbring, reported hearing it roughly 75 times in a single day), and on 24 November 2025 UK Prime Minister Keir Starmer was publicly corrected by a head teacher after leading schoolchildren in the gesture during a school visit (CNN, 2025; IBTimes UK, 2025). The comedy of these episodes turns on who is and is not “in on the joke”—a sociolinguistic fact, not a semantic one.</w:t>
      </w:r>
    </w:p>
    <w:p>
      <w:pPr>
        <w:spacing w:before="240" w:after="80" w:line="240" w:lineRule="auto"/>
      </w:pPr>
      <w:r>
        <w:rPr>
          <w:rFonts w:ascii="Times New Roman" w:hAnsi="Times New Roman"/>
          <w:b/>
          <w:sz w:val="26"/>
        </w:rPr>
        <w:t>6. The Phatic Frame: Communion (Malinowski) and Function (Jakobson)</w:t>
      </w:r>
    </w:p>
    <w:p>
      <w:pPr>
        <w:spacing w:before="0" w:after="120" w:line="240" w:lineRule="auto"/>
        <w:jc w:val="both"/>
      </w:pPr>
      <w:r>
        <w:rPr>
          <w:rFonts w:ascii="Times New Roman" w:hAnsi="Times New Roman"/>
          <w:sz w:val="22"/>
        </w:rPr>
        <w:t xml:space="preserve">The vocabulary for analysing contentless-but-functional language originates with the anthropologist Bronisław Malinowski, whose 1923 essay “The Problem of Meaning in Primitive Languages” appeared as a supplement to Ogden and Richards’s </w:t>
      </w:r>
      <w:r>
        <w:rPr>
          <w:rFonts w:ascii="Times New Roman" w:hAnsi="Times New Roman"/>
          <w:i/>
          <w:sz w:val="22"/>
        </w:rPr>
        <w:t>The Meaning of Meaning</w:t>
      </w:r>
      <w:r>
        <w:rPr>
          <w:rFonts w:ascii="Times New Roman" w:hAnsi="Times New Roman"/>
          <w:sz w:val="22"/>
        </w:rPr>
        <w:t>. There Malinowski coined the term—“actuated by the demon of terminological invention”—for “a type of speech in which ties of union are created by a mere exchange of words” (Malinowski, 1923). Phatic communion is the language of “free, aimless, social intercourse,” in which words “fulfil a social function, and that is their principal aim,” being “neither the result of intellectual reflection, nor do they necessarily arouse reflection in the listener.” Language is here “a mode of action, rather than as a countersign of thought”; it bonds rather than informs.</w:t>
      </w:r>
    </w:p>
    <w:p>
      <w:pPr>
        <w:spacing w:before="0" w:after="120" w:line="240" w:lineRule="auto"/>
        <w:jc w:val="both"/>
      </w:pPr>
      <w:r>
        <w:rPr>
          <w:rFonts w:ascii="Times New Roman" w:hAnsi="Times New Roman"/>
          <w:sz w:val="22"/>
        </w:rPr>
        <w:t xml:space="preserve">Roman Jakobson formalised the idea within his six-function model of communication (Jakobson, 1960). The phatic function corresponds to the </w:t>
      </w:r>
      <w:r>
        <w:rPr>
          <w:rFonts w:ascii="Times New Roman" w:hAnsi="Times New Roman"/>
          <w:i/>
          <w:sz w:val="22"/>
        </w:rPr>
        <w:t>contact</w:t>
      </w:r>
      <w:r>
        <w:rPr>
          <w:rFonts w:ascii="Times New Roman" w:hAnsi="Times New Roman"/>
          <w:sz w:val="22"/>
        </w:rPr>
        <w:t xml:space="preserve"> factor, comprising “messages primarily serving to establish, to prolong, or to discontinue communication, to check whether the channel works”—exemplified by “Hello, do you hear me?” and “Are you listening?” Jakobson credited Malinowski for the term and observed that the phatic function is “the first verbal function acquired by infants.” That developmental priority resonates with Fridland’s (2026) analysis of </w:t>
      </w:r>
      <w:r>
        <w:rPr>
          <w:rFonts w:ascii="Times New Roman" w:hAnsi="Times New Roman"/>
          <w:i/>
          <w:sz w:val="22"/>
        </w:rPr>
        <w:t>6-7</w:t>
      </w:r>
      <w:r>
        <w:rPr>
          <w:rFonts w:ascii="Times New Roman" w:hAnsi="Times New Roman"/>
          <w:sz w:val="22"/>
        </w:rPr>
        <w:t xml:space="preserve"> as the developmentally normal creation of socially meaningful language by adolescents—“not brain rot” but “linguistically normal.” The phatic function is not a degenerate use of language; it is foundational.</w:t>
      </w:r>
    </w:p>
    <w:p>
      <w:pPr>
        <w:spacing w:before="240" w:after="80" w:line="240" w:lineRule="auto"/>
      </w:pPr>
      <w:r>
        <w:rPr>
          <w:rFonts w:ascii="Times New Roman" w:hAnsi="Times New Roman"/>
          <w:b/>
          <w:sz w:val="26"/>
        </w:rPr>
        <w:t>7. Phatic Culture Online</w:t>
      </w:r>
    </w:p>
    <w:p>
      <w:pPr>
        <w:spacing w:before="0" w:after="120" w:line="240" w:lineRule="auto"/>
        <w:jc w:val="both"/>
      </w:pPr>
      <w:r>
        <w:rPr>
          <w:rFonts w:ascii="Times New Roman" w:hAnsi="Times New Roman"/>
          <w:sz w:val="22"/>
        </w:rPr>
        <w:t>The frame extends to digital communication. Miller (2008) argues that network sociality has produced an online culture “dominated by non-dialogic, non-informational” exchange, in which “the connection, not the content, is what matters.” Practices such as Snapchat “streaks”—daily exchanges whose entire point is maintaining a connection counter—are paradigmatically phatic (see Miller, 2008, and subsequent phatic-media research). A meme that spreads as a shouted gesture, propagating connection rather than proposition, is the lexical-item-scale instance of exactly this phenomenon.</w:t>
      </w:r>
    </w:p>
    <w:p>
      <w:pPr>
        <w:spacing w:before="240" w:after="80" w:line="240" w:lineRule="auto"/>
      </w:pPr>
      <w:r>
        <w:rPr>
          <w:rFonts w:ascii="Times New Roman" w:hAnsi="Times New Roman"/>
          <w:b/>
          <w:sz w:val="26"/>
        </w:rPr>
        <w:t>8. Meaning-Based Lexical Theory: Reference, Truth, and Sense</w:t>
      </w:r>
    </w:p>
    <w:p>
      <w:pPr>
        <w:spacing w:before="0" w:after="120" w:line="240" w:lineRule="auto"/>
        <w:jc w:val="both"/>
      </w:pPr>
      <w:r>
        <w:rPr>
          <w:rFonts w:ascii="Times New Roman" w:hAnsi="Times New Roman"/>
          <w:sz w:val="22"/>
        </w:rPr>
        <w:t>The dominant strand of formal semantics ties meaning to the world. Frege’s (1892/1948) distinction between sense (</w:t>
      </w:r>
      <w:r>
        <w:rPr>
          <w:rFonts w:ascii="Times New Roman" w:hAnsi="Times New Roman"/>
          <w:i/>
          <w:sz w:val="22"/>
        </w:rPr>
        <w:t>Sinn</w:t>
      </w:r>
      <w:r>
        <w:rPr>
          <w:rFonts w:ascii="Times New Roman" w:hAnsi="Times New Roman"/>
          <w:sz w:val="22"/>
        </w:rPr>
        <w:t>) and reference (</w:t>
      </w:r>
      <w:r>
        <w:rPr>
          <w:rFonts w:ascii="Times New Roman" w:hAnsi="Times New Roman"/>
          <w:i/>
          <w:sz w:val="22"/>
        </w:rPr>
        <w:t>Bedeutung</w:t>
      </w:r>
      <w:r>
        <w:rPr>
          <w:rFonts w:ascii="Times New Roman" w:hAnsi="Times New Roman"/>
          <w:sz w:val="22"/>
        </w:rPr>
        <w:t xml:space="preserve">) keeps reference central: “the morning star” and “the evening star” differ in sense yet share a referent, Venus. Truth-conditional semantics, developed by Davidson (1967) on Tarski’s theory of truth, holds that to give the meaning of a sentence is to give its truth conditions, so that a word’s meaning is its contribution to those conditions. The difficulty is immediate: </w:t>
      </w:r>
      <w:r>
        <w:rPr>
          <w:rFonts w:ascii="Times New Roman" w:hAnsi="Times New Roman"/>
          <w:i/>
          <w:sz w:val="22"/>
        </w:rPr>
        <w:t>6-7</w:t>
      </w:r>
      <w:r>
        <w:rPr>
          <w:rFonts w:ascii="Times New Roman" w:hAnsi="Times New Roman"/>
          <w:sz w:val="22"/>
        </w:rPr>
        <w:t xml:space="preserve"> has no plausible truth-conditional contribution. It is not a predicate, names nothing, and a sentence is no more or less true for containing it—by the lights of strict truth-conditional semantics, not so much false as not truth-apt.</w:t>
      </w:r>
    </w:p>
    <w:p>
      <w:pPr>
        <w:spacing w:before="0" w:after="120" w:line="240" w:lineRule="auto"/>
        <w:jc w:val="both"/>
      </w:pPr>
      <w:r>
        <w:rPr>
          <w:rFonts w:ascii="Times New Roman" w:hAnsi="Times New Roman"/>
          <w:sz w:val="22"/>
        </w:rPr>
        <w:t xml:space="preserve">Lexical semantics, in turn, studies word meaning and the sense relations—synonymy, hyponymy, antonymy, polysemy—that structure the lexicon (Jurafsky &amp; Martin, 2023). Identifying lexical meaning purely with reference makes it hard to account for synonymy and analytic entailment, so the field distinguishes an inferential aspect of lexical competence (relations among senses) from a referential aspect (naming and application) (Stanford Encyclopedia of Philosophy, n.d.). </w:t>
      </w:r>
      <w:r>
        <w:rPr>
          <w:rFonts w:ascii="Times New Roman" w:hAnsi="Times New Roman"/>
          <w:i/>
          <w:sz w:val="22"/>
        </w:rPr>
        <w:t>6-7</w:t>
      </w:r>
      <w:r>
        <w:rPr>
          <w:rFonts w:ascii="Times New Roman" w:hAnsi="Times New Roman"/>
          <w:sz w:val="22"/>
        </w:rPr>
        <w:t xml:space="preserve"> enters into neither set of relations robustly: it has no synonyms, no hypernym, no entailments. There is no </w:t>
      </w:r>
      <w:r>
        <w:rPr>
          <w:rFonts w:ascii="Times New Roman" w:hAnsi="Times New Roman"/>
          <w:i/>
          <w:sz w:val="22"/>
        </w:rPr>
        <w:t>sense</w:t>
      </w:r>
      <w:r>
        <w:rPr>
          <w:rFonts w:ascii="Times New Roman" w:hAnsi="Times New Roman"/>
          <w:sz w:val="22"/>
        </w:rPr>
        <w:t xml:space="preserve"> for the inferential machinery to operate on—which is why a dictionary can simultaneously crown it and confess it cannot define it (Table 2).</w:t>
      </w:r>
    </w:p>
    <w:p>
      <w:pPr>
        <w:spacing w:before="240" w:after="80" w:line="240" w:lineRule="auto"/>
      </w:pPr>
      <w:r>
        <w:rPr>
          <w:rFonts w:ascii="Times New Roman" w:hAnsi="Times New Roman"/>
          <w:b/>
          <w:sz w:val="26"/>
        </w:rPr>
        <w:t>9. Use-Based Alternatives and the Non-Referential Margin</w:t>
      </w:r>
    </w:p>
    <w:p>
      <w:pPr>
        <w:spacing w:before="0" w:after="120" w:line="240" w:lineRule="auto"/>
        <w:jc w:val="both"/>
      </w:pPr>
      <w:r>
        <w:rPr>
          <w:rFonts w:ascii="Times New Roman" w:hAnsi="Times New Roman"/>
          <w:sz w:val="22"/>
        </w:rPr>
        <w:t xml:space="preserve">The principal rival tradition makes </w:t>
      </w:r>
      <w:r>
        <w:rPr>
          <w:rFonts w:ascii="Times New Roman" w:hAnsi="Times New Roman"/>
          <w:i/>
          <w:sz w:val="22"/>
        </w:rPr>
        <w:t>use</w:t>
      </w:r>
      <w:r>
        <w:rPr>
          <w:rFonts w:ascii="Times New Roman" w:hAnsi="Times New Roman"/>
          <w:sz w:val="22"/>
        </w:rPr>
        <w:t xml:space="preserve">, not reference, primary. Wittgenstein’s (1953) </w:t>
      </w:r>
      <w:r>
        <w:rPr>
          <w:rFonts w:ascii="Times New Roman" w:hAnsi="Times New Roman"/>
          <w:i/>
          <w:sz w:val="22"/>
        </w:rPr>
        <w:t>Philosophical Investigations</w:t>
      </w:r>
      <w:r>
        <w:rPr>
          <w:rFonts w:ascii="Times New Roman" w:hAnsi="Times New Roman"/>
          <w:sz w:val="22"/>
        </w:rPr>
        <w:t xml:space="preserve"> furnishes the slogan: “the meaning of a word is its use in the language” (§43, Anscombe translation). Meaning resides in language-games and is organised by family resemblance rather than shared essence; Wittgenstein hedged—“not for all” cases—and </w:t>
      </w:r>
      <w:r>
        <w:rPr>
          <w:rFonts w:ascii="Times New Roman" w:hAnsi="Times New Roman"/>
          <w:i/>
          <w:sz w:val="22"/>
        </w:rPr>
        <w:t>6-7</w:t>
      </w:r>
      <w:r>
        <w:rPr>
          <w:rFonts w:ascii="Times New Roman" w:hAnsi="Times New Roman"/>
          <w:sz w:val="22"/>
        </w:rPr>
        <w:t xml:space="preserve"> falls squarely in the use-governed, non-ostensive class he had in mind. Three further frameworks bear on slang: Firth’s (1957) distributional dictum (“you shall know a word by the company it keeps”); usage-based linguistics, which models grammar as a network of constructions learned from use; and construction grammar (Goldberg, 1995), which treats lexical and syntactic units alike as form–meaning pairings. Each permits “meaning” to be a conventionalised pairing of a form with a </w:t>
      </w:r>
      <w:r>
        <w:rPr>
          <w:rFonts w:ascii="Times New Roman" w:hAnsi="Times New Roman"/>
          <w:i/>
          <w:sz w:val="22"/>
        </w:rPr>
        <w:t>function</w:t>
      </w:r>
      <w:r>
        <w:rPr>
          <w:rFonts w:ascii="Times New Roman" w:hAnsi="Times New Roman"/>
          <w:sz w:val="22"/>
        </w:rPr>
        <w:t>—including a purely social function—rather than with a referent.</w:t>
      </w:r>
    </w:p>
    <w:p>
      <w:pPr>
        <w:spacing w:before="0" w:after="120" w:line="240" w:lineRule="auto"/>
        <w:jc w:val="both"/>
      </w:pPr>
      <w:r>
        <w:rPr>
          <w:rFonts w:ascii="Times New Roman" w:hAnsi="Times New Roman"/>
          <w:i/>
          <w:sz w:val="22"/>
        </w:rPr>
        <w:t>6-7</w:t>
      </w:r>
      <w:r>
        <w:rPr>
          <w:rFonts w:ascii="Times New Roman" w:hAnsi="Times New Roman"/>
          <w:sz w:val="22"/>
        </w:rPr>
        <w:t xml:space="preserve"> is, moreover, not </w:t>
      </w:r>
      <w:r>
        <w:rPr>
          <w:rFonts w:ascii="Times New Roman" w:hAnsi="Times New Roman"/>
          <w:i/>
          <w:sz w:val="22"/>
        </w:rPr>
        <w:t>sui generis</w:t>
      </w:r>
      <w:r>
        <w:rPr>
          <w:rFonts w:ascii="Times New Roman" w:hAnsi="Times New Roman"/>
          <w:sz w:val="22"/>
        </w:rPr>
        <w:t xml:space="preserve">; it joins a class formal semantics has long handled at its margins. Discourse markers are traditionally analysed as non-truth-conditional—removing “so” or “you know” does not change a sentence’s truth value—and Relevance Theory treats such connectives as encoding procedural rather than conceptual meaning (Blakemore, 2002). Interjections are likewise characterised as content that is not truth-conditional in any way. The existence of this margin is the wedge: meaning-based theory has always needed a supplementary account for non-denotational items. </w:t>
      </w:r>
      <w:r>
        <w:rPr>
          <w:rFonts w:ascii="Times New Roman" w:hAnsi="Times New Roman"/>
          <w:i/>
          <w:sz w:val="22"/>
        </w:rPr>
        <w:t>6-7</w:t>
      </w:r>
      <w:r>
        <w:rPr>
          <w:rFonts w:ascii="Times New Roman" w:hAnsi="Times New Roman"/>
          <w:sz w:val="22"/>
        </w:rPr>
        <w:t xml:space="preserve"> simply pushes that supplement to the centre.</w:t>
      </w:r>
    </w:p>
    <w:p>
      <w:pPr>
        <w:spacing w:before="160" w:after="40" w:line="240" w:lineRule="auto"/>
      </w:pPr>
      <w:r>
        <w:rPr>
          <w:rFonts w:ascii="Times New Roman" w:hAnsi="Times New Roman"/>
          <w:b/>
          <w:sz w:val="20"/>
        </w:rPr>
        <w:t>Table 2. Theories of lexical meaning and their fit for a phatic-only item.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tcPr>
          <w:p>
            <w:pPr>
              <w:spacing w:after="40"/>
            </w:pPr>
            <w:r>
              <w:rPr>
                <w:rFonts w:ascii="Times New Roman" w:hAnsi="Times New Roman"/>
                <w:b/>
                <w:sz w:val="19"/>
              </w:rPr>
              <w:t>Tradition</w:t>
            </w:r>
          </w:p>
        </w:tc>
        <w:tc>
          <w:tcPr>
            <w:tcW w:type="dxa" w:w="1872"/>
          </w:tcPr>
          <w:p>
            <w:pPr>
              <w:spacing w:after="40"/>
            </w:pPr>
            <w:r>
              <w:rPr>
                <w:rFonts w:ascii="Times New Roman" w:hAnsi="Times New Roman"/>
                <w:b/>
                <w:sz w:val="19"/>
              </w:rPr>
              <w:t>Key figures</w:t>
            </w:r>
          </w:p>
        </w:tc>
        <w:tc>
          <w:tcPr>
            <w:tcW w:type="dxa" w:w="2448"/>
          </w:tcPr>
          <w:p>
            <w:pPr>
              <w:spacing w:after="40"/>
            </w:pPr>
            <w:r>
              <w:rPr>
                <w:rFonts w:ascii="Times New Roman" w:hAnsi="Times New Roman"/>
                <w:b/>
                <w:sz w:val="19"/>
              </w:rPr>
              <w:t>Locus of meaning</w:t>
            </w:r>
          </w:p>
        </w:tc>
        <w:tc>
          <w:tcPr>
            <w:tcW w:type="dxa" w:w="2304"/>
          </w:tcPr>
          <w:p>
            <w:pPr>
              <w:spacing w:after="40"/>
            </w:pPr>
            <w:r>
              <w:rPr>
                <w:rFonts w:ascii="Times New Roman" w:hAnsi="Times New Roman"/>
                <w:b/>
                <w:sz w:val="19"/>
              </w:rPr>
              <w:t>Account of “6-7”</w:t>
            </w:r>
          </w:p>
        </w:tc>
      </w:tr>
      <w:tr>
        <w:tc>
          <w:tcPr>
            <w:tcW w:type="dxa" w:w="2304"/>
          </w:tcPr>
          <w:p>
            <w:pPr>
              <w:spacing w:after="40"/>
            </w:pPr>
            <w:r>
              <w:rPr>
                <w:rFonts w:ascii="Times New Roman" w:hAnsi="Times New Roman"/>
                <w:sz w:val="18"/>
              </w:rPr>
              <w:t>Referential / truth-conditional</w:t>
            </w:r>
          </w:p>
        </w:tc>
        <w:tc>
          <w:tcPr>
            <w:tcW w:type="dxa" w:w="1872"/>
          </w:tcPr>
          <w:p>
            <w:pPr>
              <w:spacing w:after="40"/>
            </w:pPr>
            <w:r>
              <w:rPr>
                <w:rFonts w:ascii="Times New Roman" w:hAnsi="Times New Roman"/>
                <w:sz w:val="18"/>
              </w:rPr>
              <w:t>Frege; Davidson</w:t>
            </w:r>
          </w:p>
        </w:tc>
        <w:tc>
          <w:tcPr>
            <w:tcW w:type="dxa" w:w="2448"/>
          </w:tcPr>
          <w:p>
            <w:pPr>
              <w:spacing w:after="40"/>
            </w:pPr>
            <w:r>
              <w:rPr>
                <w:rFonts w:ascii="Times New Roman" w:hAnsi="Times New Roman"/>
                <w:sz w:val="18"/>
              </w:rPr>
              <w:t>Reference; contribution to truth conditions</w:t>
            </w:r>
          </w:p>
        </w:tc>
        <w:tc>
          <w:tcPr>
            <w:tcW w:type="dxa" w:w="2304"/>
          </w:tcPr>
          <w:p>
            <w:pPr>
              <w:spacing w:after="40"/>
            </w:pPr>
            <w:r>
              <w:rPr>
                <w:rFonts w:ascii="Times New Roman" w:hAnsi="Times New Roman"/>
                <w:sz w:val="18"/>
              </w:rPr>
              <w:t>No content; not truth-apt</w:t>
            </w:r>
          </w:p>
        </w:tc>
      </w:tr>
      <w:tr>
        <w:tc>
          <w:tcPr>
            <w:tcW w:type="dxa" w:w="2304"/>
          </w:tcPr>
          <w:p>
            <w:pPr>
              <w:spacing w:after="40"/>
            </w:pPr>
            <w:r>
              <w:rPr>
                <w:rFonts w:ascii="Times New Roman" w:hAnsi="Times New Roman"/>
                <w:sz w:val="18"/>
              </w:rPr>
              <w:t>Lexical semantics</w:t>
            </w:r>
          </w:p>
        </w:tc>
        <w:tc>
          <w:tcPr>
            <w:tcW w:type="dxa" w:w="1872"/>
          </w:tcPr>
          <w:p>
            <w:pPr>
              <w:spacing w:after="40"/>
            </w:pPr>
            <w:r>
              <w:rPr>
                <w:rFonts w:ascii="Times New Roman" w:hAnsi="Times New Roman"/>
                <w:sz w:val="18"/>
              </w:rPr>
              <w:t>Cruse; Jurafsky &amp; Martin</w:t>
            </w:r>
          </w:p>
        </w:tc>
        <w:tc>
          <w:tcPr>
            <w:tcW w:type="dxa" w:w="2448"/>
          </w:tcPr>
          <w:p>
            <w:pPr>
              <w:spacing w:after="40"/>
            </w:pPr>
            <w:r>
              <w:rPr>
                <w:rFonts w:ascii="Times New Roman" w:hAnsi="Times New Roman"/>
                <w:sz w:val="18"/>
              </w:rPr>
              <w:t>Sense and sense-relations</w:t>
            </w:r>
          </w:p>
        </w:tc>
        <w:tc>
          <w:tcPr>
            <w:tcW w:type="dxa" w:w="2304"/>
          </w:tcPr>
          <w:p>
            <w:pPr>
              <w:spacing w:after="40"/>
            </w:pPr>
            <w:r>
              <w:rPr>
                <w:rFonts w:ascii="Times New Roman" w:hAnsi="Times New Roman"/>
                <w:sz w:val="18"/>
              </w:rPr>
              <w:t>No sense; enters no relations</w:t>
            </w:r>
          </w:p>
        </w:tc>
      </w:tr>
      <w:tr>
        <w:tc>
          <w:tcPr>
            <w:tcW w:type="dxa" w:w="2304"/>
          </w:tcPr>
          <w:p>
            <w:pPr>
              <w:spacing w:after="40"/>
            </w:pPr>
            <w:r>
              <w:rPr>
                <w:rFonts w:ascii="Times New Roman" w:hAnsi="Times New Roman"/>
                <w:sz w:val="18"/>
              </w:rPr>
              <w:t>Use theory</w:t>
            </w:r>
          </w:p>
        </w:tc>
        <w:tc>
          <w:tcPr>
            <w:tcW w:type="dxa" w:w="1872"/>
          </w:tcPr>
          <w:p>
            <w:pPr>
              <w:spacing w:after="40"/>
            </w:pPr>
            <w:r>
              <w:rPr>
                <w:rFonts w:ascii="Times New Roman" w:hAnsi="Times New Roman"/>
                <w:sz w:val="18"/>
              </w:rPr>
              <w:t>Wittgenstein</w:t>
            </w:r>
          </w:p>
        </w:tc>
        <w:tc>
          <w:tcPr>
            <w:tcW w:type="dxa" w:w="2448"/>
          </w:tcPr>
          <w:p>
            <w:pPr>
              <w:spacing w:after="40"/>
            </w:pPr>
            <w:r>
              <w:rPr>
                <w:rFonts w:ascii="Times New Roman" w:hAnsi="Times New Roman"/>
                <w:sz w:val="18"/>
              </w:rPr>
              <w:t>Use within language-games</w:t>
            </w:r>
          </w:p>
        </w:tc>
        <w:tc>
          <w:tcPr>
            <w:tcW w:type="dxa" w:w="2304"/>
          </w:tcPr>
          <w:p>
            <w:pPr>
              <w:spacing w:after="40"/>
            </w:pPr>
            <w:r>
              <w:rPr>
                <w:rFonts w:ascii="Times New Roman" w:hAnsi="Times New Roman"/>
                <w:sz w:val="18"/>
              </w:rPr>
              <w:t xml:space="preserve">Meaning </w:t>
            </w:r>
            <w:r>
              <w:rPr>
                <w:rFonts w:ascii="Times New Roman" w:hAnsi="Times New Roman"/>
                <w:i/>
                <w:sz w:val="18"/>
              </w:rPr>
              <w:t>is</w:t>
            </w:r>
            <w:r>
              <w:rPr>
                <w:rFonts w:ascii="Times New Roman" w:hAnsi="Times New Roman"/>
                <w:sz w:val="18"/>
              </w:rPr>
              <w:t xml:space="preserve"> its use</w:t>
            </w:r>
          </w:p>
        </w:tc>
      </w:tr>
      <w:tr>
        <w:tc>
          <w:tcPr>
            <w:tcW w:type="dxa" w:w="2304"/>
          </w:tcPr>
          <w:p>
            <w:pPr>
              <w:spacing w:after="40"/>
            </w:pPr>
            <w:r>
              <w:rPr>
                <w:rFonts w:ascii="Times New Roman" w:hAnsi="Times New Roman"/>
                <w:sz w:val="18"/>
              </w:rPr>
              <w:t>Usage-based / construction grammar</w:t>
            </w:r>
          </w:p>
        </w:tc>
        <w:tc>
          <w:tcPr>
            <w:tcW w:type="dxa" w:w="1872"/>
          </w:tcPr>
          <w:p>
            <w:pPr>
              <w:spacing w:after="40"/>
            </w:pPr>
            <w:r>
              <w:rPr>
                <w:rFonts w:ascii="Times New Roman" w:hAnsi="Times New Roman"/>
                <w:sz w:val="18"/>
              </w:rPr>
              <w:t>Firth; Bybee; Goldberg</w:t>
            </w:r>
          </w:p>
        </w:tc>
        <w:tc>
          <w:tcPr>
            <w:tcW w:type="dxa" w:w="2448"/>
          </w:tcPr>
          <w:p>
            <w:pPr>
              <w:spacing w:after="40"/>
            </w:pPr>
            <w:r>
              <w:rPr>
                <w:rFonts w:ascii="Times New Roman" w:hAnsi="Times New Roman"/>
                <w:sz w:val="18"/>
              </w:rPr>
              <w:t>Conventionalised form–function pairing</w:t>
            </w:r>
          </w:p>
        </w:tc>
        <w:tc>
          <w:tcPr>
            <w:tcW w:type="dxa" w:w="2304"/>
          </w:tcPr>
          <w:p>
            <w:pPr>
              <w:spacing w:after="40"/>
            </w:pPr>
            <w:r>
              <w:rPr>
                <w:rFonts w:ascii="Times New Roman" w:hAnsi="Times New Roman"/>
                <w:sz w:val="18"/>
              </w:rPr>
              <w:t>Form paired with a social function</w:t>
            </w:r>
          </w:p>
        </w:tc>
      </w:tr>
      <w:tr>
        <w:tc>
          <w:tcPr>
            <w:tcW w:type="dxa" w:w="2304"/>
          </w:tcPr>
          <w:p>
            <w:pPr>
              <w:spacing w:after="40"/>
            </w:pPr>
            <w:r>
              <w:rPr>
                <w:rFonts w:ascii="Times New Roman" w:hAnsi="Times New Roman"/>
                <w:sz w:val="18"/>
              </w:rPr>
              <w:t>Expressive / use-conditional</w:t>
            </w:r>
          </w:p>
        </w:tc>
        <w:tc>
          <w:tcPr>
            <w:tcW w:type="dxa" w:w="1872"/>
          </w:tcPr>
          <w:p>
            <w:pPr>
              <w:spacing w:after="40"/>
            </w:pPr>
            <w:r>
              <w:rPr>
                <w:rFonts w:ascii="Times New Roman" w:hAnsi="Times New Roman"/>
                <w:sz w:val="18"/>
              </w:rPr>
              <w:t>Kaplan; Potts; Gutzmann</w:t>
            </w:r>
          </w:p>
        </w:tc>
        <w:tc>
          <w:tcPr>
            <w:tcW w:type="dxa" w:w="2448"/>
          </w:tcPr>
          <w:p>
            <w:pPr>
              <w:spacing w:after="40"/>
            </w:pPr>
            <w:r>
              <w:rPr>
                <w:rFonts w:ascii="Times New Roman" w:hAnsi="Times New Roman"/>
                <w:sz w:val="18"/>
              </w:rPr>
              <w:t>Speaker attitude / affect</w:t>
            </w:r>
          </w:p>
        </w:tc>
        <w:tc>
          <w:tcPr>
            <w:tcW w:type="dxa" w:w="2304"/>
          </w:tcPr>
          <w:p>
            <w:pPr>
              <w:spacing w:after="40"/>
            </w:pPr>
            <w:r>
              <w:rPr>
                <w:rFonts w:ascii="Times New Roman" w:hAnsi="Times New Roman"/>
                <w:sz w:val="18"/>
              </w:rPr>
              <w:t>Expressive interjection</w:t>
            </w:r>
          </w:p>
        </w:tc>
      </w:tr>
      <w:tr>
        <w:tc>
          <w:tcPr>
            <w:tcW w:type="dxa" w:w="2304"/>
          </w:tcPr>
          <w:p>
            <w:pPr>
              <w:spacing w:after="40"/>
            </w:pPr>
            <w:r>
              <w:rPr>
                <w:rFonts w:ascii="Times New Roman" w:hAnsi="Times New Roman"/>
                <w:sz w:val="18"/>
              </w:rPr>
              <w:t>Indexical / third-wave</w:t>
            </w:r>
          </w:p>
        </w:tc>
        <w:tc>
          <w:tcPr>
            <w:tcW w:type="dxa" w:w="1872"/>
          </w:tcPr>
          <w:p>
            <w:pPr>
              <w:spacing w:after="40"/>
            </w:pPr>
            <w:r>
              <w:rPr>
                <w:rFonts w:ascii="Times New Roman" w:hAnsi="Times New Roman"/>
                <w:sz w:val="18"/>
              </w:rPr>
              <w:t>Silverstein; Eckert</w:t>
            </w:r>
          </w:p>
        </w:tc>
        <w:tc>
          <w:tcPr>
            <w:tcW w:type="dxa" w:w="2448"/>
          </w:tcPr>
          <w:p>
            <w:pPr>
              <w:spacing w:after="40"/>
            </w:pPr>
            <w:r>
              <w:rPr>
                <w:rFonts w:ascii="Times New Roman" w:hAnsi="Times New Roman"/>
                <w:sz w:val="18"/>
              </w:rPr>
              <w:t>Social indexing of identity/stance</w:t>
            </w:r>
          </w:p>
        </w:tc>
        <w:tc>
          <w:tcPr>
            <w:tcW w:type="dxa" w:w="2304"/>
          </w:tcPr>
          <w:p>
            <w:pPr>
              <w:spacing w:after="40"/>
            </w:pPr>
            <w:r>
              <w:rPr>
                <w:rFonts w:ascii="Times New Roman" w:hAnsi="Times New Roman"/>
                <w:sz w:val="18"/>
              </w:rPr>
              <w:t>Indexes in-group membership</w:t>
            </w:r>
          </w:p>
        </w:tc>
      </w:tr>
    </w:tbl>
    <w:p>
      <w:pPr>
        <w:spacing w:before="0" w:after="120" w:line="240" w:lineRule="auto"/>
      </w:pPr>
      <w:r>
        <w:rPr>
          <w:rFonts w:ascii="Times New Roman" w:hAnsi="Times New Roman"/>
          <w:i/>
          <w:sz w:val="18"/>
        </w:rPr>
        <w:t xml:space="preserve">Note. </w:t>
      </w:r>
      <w:r>
        <w:rPr>
          <w:rFonts w:ascii="Times New Roman" w:hAnsi="Times New Roman"/>
          <w:i/>
          <w:sz w:val="18"/>
        </w:rPr>
        <w:t xml:space="preserve">Meaning-based traditions (rows 1–2) yield a null result for </w:t>
      </w:r>
      <w:r>
        <w:rPr>
          <w:rFonts w:ascii="Times New Roman" w:hAnsi="Times New Roman"/>
          <w:i/>
          <w:sz w:val="18"/>
        </w:rPr>
        <w:t>6-7</w:t>
      </w:r>
      <w:r>
        <w:rPr>
          <w:rFonts w:ascii="Times New Roman" w:hAnsi="Times New Roman"/>
          <w:i/>
          <w:sz w:val="18"/>
        </w:rPr>
        <w:t>; use-based, expressive, and indexical traditions (rows 3–6) assign it a positive, non-referential value.</w:t>
      </w:r>
    </w:p>
    <w:p>
      <w:pPr>
        <w:spacing w:before="160" w:after="40" w:line="240" w:lineRule="auto"/>
        <w:jc w:val="center"/>
      </w:pPr>
      <w:r>
        <w:drawing>
          <wp:inline xmlns:a="http://schemas.openxmlformats.org/drawingml/2006/main" xmlns:pic="http://schemas.openxmlformats.org/drawingml/2006/picture">
            <wp:extent cx="5394960" cy="1998304"/>
            <wp:docPr id="3" name="Picture 3"/>
            <wp:cNvGraphicFramePr>
              <a:graphicFrameLocks noChangeAspect="1"/>
            </wp:cNvGraphicFramePr>
            <a:graphic>
              <a:graphicData uri="http://schemas.openxmlformats.org/drawingml/2006/picture">
                <pic:pic>
                  <pic:nvPicPr>
                    <pic:cNvPr id="0" name="fig3_cline.png"/>
                    <pic:cNvPicPr/>
                  </pic:nvPicPr>
                  <pic:blipFill>
                    <a:blip r:embed="rId11"/>
                    <a:stretch>
                      <a:fillRect/>
                    </a:stretch>
                  </pic:blipFill>
                  <pic:spPr>
                    <a:xfrm>
                      <a:off x="0" y="0"/>
                      <a:ext cx="5394960" cy="1998304"/>
                    </a:xfrm>
                    <a:prstGeom prst="rect"/>
                  </pic:spPr>
                </pic:pic>
              </a:graphicData>
            </a:graphic>
          </wp:inline>
        </w:drawing>
      </w:r>
    </w:p>
    <w:p>
      <w:pPr>
        <w:spacing w:before="0" w:after="160" w:line="240" w:lineRule="auto"/>
        <w:jc w:val="center"/>
      </w:pPr>
      <w:r>
        <w:rPr>
          <w:rFonts w:ascii="Times New Roman" w:hAnsi="Times New Roman"/>
          <w:b/>
          <w:sz w:val="18"/>
        </w:rPr>
        <w:t>Figure 3. A cline of lexical meaning from referential to phatic, locating “6-7.”</w:t>
      </w:r>
    </w:p>
    <w:p>
      <w:pPr>
        <w:spacing w:before="240" w:after="80" w:line="240" w:lineRule="auto"/>
      </w:pPr>
      <w:r>
        <w:rPr>
          <w:rFonts w:ascii="Times New Roman" w:hAnsi="Times New Roman"/>
          <w:b/>
          <w:sz w:val="26"/>
        </w:rPr>
        <w:t>10. The Convergent Expert Verdict and Semantic Bleaching</w:t>
      </w:r>
    </w:p>
    <w:p>
      <w:pPr>
        <w:spacing w:before="0" w:after="120" w:line="240" w:lineRule="auto"/>
        <w:jc w:val="both"/>
      </w:pPr>
      <w:r>
        <w:rPr>
          <w:rFonts w:ascii="Times New Roman" w:hAnsi="Times New Roman"/>
          <w:sz w:val="22"/>
        </w:rPr>
        <w:t xml:space="preserve">Independent commentators have reached the same conclusion using overlapping vocabulary (Table 3). Every analyst relocates the term’s value from </w:t>
      </w:r>
      <w:r>
        <w:rPr>
          <w:rFonts w:ascii="Times New Roman" w:hAnsi="Times New Roman"/>
          <w:i/>
          <w:sz w:val="22"/>
        </w:rPr>
        <w:t>denotation</w:t>
      </w:r>
      <w:r>
        <w:rPr>
          <w:rFonts w:ascii="Times New Roman" w:hAnsi="Times New Roman"/>
          <w:sz w:val="22"/>
        </w:rPr>
        <w:t xml:space="preserve"> to </w:t>
      </w:r>
      <w:r>
        <w:rPr>
          <w:rFonts w:ascii="Times New Roman" w:hAnsi="Times New Roman"/>
          <w:i/>
          <w:sz w:val="22"/>
        </w:rPr>
        <w:t>social contact, identity, and affect</w:t>
      </w:r>
      <w:r>
        <w:rPr>
          <w:rFonts w:ascii="Times New Roman" w:hAnsi="Times New Roman"/>
          <w:sz w:val="22"/>
        </w:rPr>
        <w:t>—that is, to the phatic and expressive dimensions.</w:t>
      </w:r>
    </w:p>
    <w:p>
      <w:pPr>
        <w:spacing w:before="160" w:after="40" w:line="240" w:lineRule="auto"/>
      </w:pPr>
      <w:r>
        <w:rPr>
          <w:rFonts w:ascii="Times New Roman" w:hAnsi="Times New Roman"/>
          <w:b/>
          <w:sz w:val="20"/>
        </w:rPr>
        <w:t>Table 3. Convergent expert characterizations of “6-7.”</w:t>
      </w:r>
    </w:p>
    <w:tbl>
      <w:tblPr>
        <w:tblStyle w:val="TableGrid"/>
        <w:tblW w:type="auto" w:w="0"/>
        <w:jc w:val="center"/>
        <w:tblLook w:firstColumn="1" w:firstRow="1" w:lastColumn="0" w:lastRow="0" w:noHBand="0" w:noVBand="1" w:val="04A0"/>
      </w:tblPr>
      <w:tblGrid>
        <w:gridCol w:w="3120"/>
        <w:gridCol w:w="3120"/>
        <w:gridCol w:w="3120"/>
      </w:tblGrid>
      <w:tr>
        <w:tc>
          <w:tcPr>
            <w:tcW w:type="dxa" w:w="2736"/>
          </w:tcPr>
          <w:p>
            <w:pPr>
              <w:spacing w:after="40"/>
            </w:pPr>
            <w:r>
              <w:rPr>
                <w:rFonts w:ascii="Times New Roman" w:hAnsi="Times New Roman"/>
                <w:b/>
                <w:sz w:val="19"/>
              </w:rPr>
              <w:t>Commentator (affiliation)</w:t>
            </w:r>
          </w:p>
        </w:tc>
        <w:tc>
          <w:tcPr>
            <w:tcW w:type="dxa" w:w="4320"/>
          </w:tcPr>
          <w:p>
            <w:pPr>
              <w:spacing w:after="40"/>
            </w:pPr>
            <w:r>
              <w:rPr>
                <w:rFonts w:ascii="Times New Roman" w:hAnsi="Times New Roman"/>
                <w:b/>
                <w:sz w:val="19"/>
              </w:rPr>
              <w:t>Characterization of the term</w:t>
            </w:r>
          </w:p>
        </w:tc>
        <w:tc>
          <w:tcPr>
            <w:tcW w:type="dxa" w:w="1440"/>
          </w:tcPr>
          <w:p>
            <w:pPr>
              <w:spacing w:after="40"/>
            </w:pPr>
            <w:r>
              <w:rPr>
                <w:rFonts w:ascii="Times New Roman" w:hAnsi="Times New Roman"/>
                <w:b/>
                <w:sz w:val="19"/>
              </w:rPr>
              <w:t>Source</w:t>
            </w:r>
          </w:p>
        </w:tc>
      </w:tr>
      <w:tr>
        <w:tc>
          <w:tcPr>
            <w:tcW w:type="dxa" w:w="2736"/>
          </w:tcPr>
          <w:p>
            <w:pPr>
              <w:spacing w:after="40"/>
            </w:pPr>
            <w:r>
              <w:rPr>
                <w:rFonts w:ascii="Times New Roman" w:hAnsi="Times New Roman"/>
                <w:sz w:val="18"/>
              </w:rPr>
              <w:t>Taylor Jones (Univ. of Pennsylvania)</w:t>
            </w:r>
          </w:p>
        </w:tc>
        <w:tc>
          <w:tcPr>
            <w:tcW w:type="dxa" w:w="4320"/>
          </w:tcPr>
          <w:p>
            <w:pPr>
              <w:spacing w:after="40"/>
            </w:pPr>
            <w:r>
              <w:rPr>
                <w:rFonts w:ascii="Times New Roman" w:hAnsi="Times New Roman"/>
                <w:sz w:val="18"/>
              </w:rPr>
              <w:t>“Semantically … almost void”; a “shibboleth” marking in-group membership; product of “semantic bleaching”</w:t>
            </w:r>
          </w:p>
        </w:tc>
        <w:tc>
          <w:tcPr>
            <w:tcW w:type="dxa" w:w="1440"/>
          </w:tcPr>
          <w:p>
            <w:pPr>
              <w:spacing w:after="40"/>
            </w:pPr>
            <w:r>
              <w:rPr>
                <w:rFonts w:ascii="Times New Roman" w:hAnsi="Times New Roman"/>
                <w:sz w:val="18"/>
              </w:rPr>
              <w:t>CNN, 2025</w:t>
            </w:r>
          </w:p>
        </w:tc>
      </w:tr>
      <w:tr>
        <w:tc>
          <w:tcPr>
            <w:tcW w:type="dxa" w:w="2736"/>
          </w:tcPr>
          <w:p>
            <w:pPr>
              <w:spacing w:after="40"/>
            </w:pPr>
            <w:r>
              <w:rPr>
                <w:rFonts w:ascii="Times New Roman" w:hAnsi="Times New Roman"/>
                <w:sz w:val="18"/>
              </w:rPr>
              <w:t>Valerie Fridland (Univ. of Nevada, Reno)</w:t>
            </w:r>
          </w:p>
        </w:tc>
        <w:tc>
          <w:tcPr>
            <w:tcW w:type="dxa" w:w="4320"/>
          </w:tcPr>
          <w:p>
            <w:pPr>
              <w:spacing w:after="40"/>
            </w:pPr>
            <w:r>
              <w:rPr>
                <w:rFonts w:ascii="Times New Roman" w:hAnsi="Times New Roman"/>
                <w:sz w:val="18"/>
              </w:rPr>
              <w:t>“Void of any semantic meaning”; “makes sense” through social, not referential, meaning</w:t>
            </w:r>
          </w:p>
        </w:tc>
        <w:tc>
          <w:tcPr>
            <w:tcW w:type="dxa" w:w="1440"/>
          </w:tcPr>
          <w:p>
            <w:pPr>
              <w:spacing w:after="40"/>
            </w:pPr>
            <w:r>
              <w:rPr>
                <w:rFonts w:ascii="Times New Roman" w:hAnsi="Times New Roman"/>
                <w:sz w:val="18"/>
              </w:rPr>
              <w:t>Fridland, 2026</w:t>
            </w:r>
          </w:p>
        </w:tc>
      </w:tr>
      <w:tr>
        <w:tc>
          <w:tcPr>
            <w:tcW w:type="dxa" w:w="2736"/>
          </w:tcPr>
          <w:p>
            <w:pPr>
              <w:spacing w:after="40"/>
            </w:pPr>
            <w:r>
              <w:rPr>
                <w:rFonts w:ascii="Times New Roman" w:hAnsi="Times New Roman"/>
                <w:sz w:val="18"/>
              </w:rPr>
              <w:t>Adam Aleksic (“Etymology Nerd”)</w:t>
            </w:r>
          </w:p>
        </w:tc>
        <w:tc>
          <w:tcPr>
            <w:tcW w:type="dxa" w:w="4320"/>
          </w:tcPr>
          <w:p>
            <w:pPr>
              <w:spacing w:after="40"/>
            </w:pPr>
            <w:r>
              <w:rPr>
                <w:rFonts w:ascii="Times New Roman" w:hAnsi="Times New Roman"/>
                <w:sz w:val="18"/>
              </w:rPr>
              <w:t>“Six-seven doesn’t need to have a meaning. What matters is that it lands and provokes a reaction”</w:t>
            </w:r>
          </w:p>
        </w:tc>
        <w:tc>
          <w:tcPr>
            <w:tcW w:type="dxa" w:w="1440"/>
          </w:tcPr>
          <w:p>
            <w:pPr>
              <w:spacing w:after="40"/>
            </w:pPr>
            <w:r>
              <w:rPr>
                <w:rFonts w:ascii="Times New Roman" w:hAnsi="Times New Roman"/>
                <w:sz w:val="18"/>
              </w:rPr>
              <w:t>Today, 2024</w:t>
            </w:r>
          </w:p>
        </w:tc>
      </w:tr>
      <w:tr>
        <w:tc>
          <w:tcPr>
            <w:tcW w:type="dxa" w:w="2736"/>
          </w:tcPr>
          <w:p>
            <w:pPr>
              <w:spacing w:after="40"/>
            </w:pPr>
            <w:r>
              <w:rPr>
                <w:rFonts w:ascii="Times New Roman" w:hAnsi="Times New Roman"/>
                <w:sz w:val="18"/>
              </w:rPr>
              <w:t>Cynthia Gordon (Georgetown Univ.)</w:t>
            </w:r>
          </w:p>
        </w:tc>
        <w:tc>
          <w:tcPr>
            <w:tcW w:type="dxa" w:w="4320"/>
          </w:tcPr>
          <w:p>
            <w:pPr>
              <w:spacing w:after="40"/>
            </w:pPr>
            <w:r>
              <w:rPr>
                <w:rFonts w:ascii="Times New Roman" w:hAnsi="Times New Roman"/>
                <w:sz w:val="18"/>
              </w:rPr>
              <w:t>Trend “oriented to humor and play”; “only humorous … if a group of people are ‘insiders’”</w:t>
            </w:r>
          </w:p>
        </w:tc>
        <w:tc>
          <w:tcPr>
            <w:tcW w:type="dxa" w:w="1440"/>
          </w:tcPr>
          <w:p>
            <w:pPr>
              <w:spacing w:after="40"/>
            </w:pPr>
            <w:r>
              <w:rPr>
                <w:rFonts w:ascii="Times New Roman" w:hAnsi="Times New Roman"/>
                <w:sz w:val="18"/>
              </w:rPr>
              <w:t>Georgetown University, 2025</w:t>
            </w:r>
          </w:p>
        </w:tc>
      </w:tr>
      <w:tr>
        <w:tc>
          <w:tcPr>
            <w:tcW w:type="dxa" w:w="2736"/>
          </w:tcPr>
          <w:p>
            <w:pPr>
              <w:spacing w:after="40"/>
            </w:pPr>
            <w:r>
              <w:rPr>
                <w:rFonts w:ascii="Times New Roman" w:hAnsi="Times New Roman"/>
                <w:sz w:val="18"/>
              </w:rPr>
              <w:t>Steve Johnson (Dictionary.com)</w:t>
            </w:r>
          </w:p>
        </w:tc>
        <w:tc>
          <w:tcPr>
            <w:tcW w:type="dxa" w:w="4320"/>
          </w:tcPr>
          <w:p>
            <w:pPr>
              <w:spacing w:after="40"/>
            </w:pPr>
            <w:r>
              <w:rPr>
                <w:rFonts w:ascii="Times New Roman" w:hAnsi="Times New Roman"/>
                <w:sz w:val="18"/>
              </w:rPr>
              <w:t>“A burst of energy that spreads and connects people long before anyone agrees on what it actually means”</w:t>
            </w:r>
          </w:p>
        </w:tc>
        <w:tc>
          <w:tcPr>
            <w:tcW w:type="dxa" w:w="1440"/>
          </w:tcPr>
          <w:p>
            <w:pPr>
              <w:spacing w:after="40"/>
            </w:pPr>
            <w:r>
              <w:rPr>
                <w:rFonts w:ascii="Times New Roman" w:hAnsi="Times New Roman"/>
                <w:sz w:val="18"/>
              </w:rPr>
              <w:t>Smithsonian, 2025</w:t>
            </w:r>
          </w:p>
        </w:tc>
      </w:tr>
    </w:tbl>
    <w:p>
      <w:pPr>
        <w:spacing w:before="0" w:after="120" w:line="240" w:lineRule="auto"/>
      </w:pPr>
      <w:r>
        <w:rPr>
          <w:rFonts w:ascii="Times New Roman" w:hAnsi="Times New Roman"/>
          <w:i/>
          <w:sz w:val="18"/>
        </w:rPr>
        <w:t xml:space="preserve">Note. </w:t>
      </w:r>
      <w:r>
        <w:rPr>
          <w:rFonts w:ascii="Times New Roman" w:hAnsi="Times New Roman"/>
          <w:i/>
          <w:sz w:val="18"/>
        </w:rPr>
        <w:t>Affiliations as reported in the cited sources. The five commentators span academic sociolinguistics, content creation, and lexicography yet converge on a social, non-denotational reading.</w:t>
      </w:r>
    </w:p>
    <w:p>
      <w:pPr>
        <w:spacing w:before="0" w:after="120" w:line="240" w:lineRule="auto"/>
        <w:jc w:val="both"/>
      </w:pPr>
      <w:r>
        <w:rPr>
          <w:rFonts w:ascii="Times New Roman" w:hAnsi="Times New Roman"/>
          <w:sz w:val="22"/>
        </w:rPr>
        <w:t xml:space="preserve">This convergence rests on a well-attested process: semantic bleaching—the loss of denotational content while form and function persist. What </w:t>
      </w:r>
      <w:r>
        <w:rPr>
          <w:rFonts w:ascii="Times New Roman" w:hAnsi="Times New Roman"/>
          <w:i/>
          <w:sz w:val="22"/>
        </w:rPr>
        <w:t>6-7</w:t>
      </w:r>
      <w:r>
        <w:rPr>
          <w:rFonts w:ascii="Times New Roman" w:hAnsi="Times New Roman"/>
          <w:sz w:val="22"/>
        </w:rPr>
        <w:t xml:space="preserve"> illustrates is bleaching compressed from centuries into months: the term arguably entered circulation already bleached, its tenuous link to a song lyric and a height statistic severed almost immediately (CNN, 2025). A comparable, slightly earlier case is “yeet,” which University of Colorado Boulder (2021) linguists analysed as undergoing “indexical bleaching” as it spread from African American English and attached primarily to gesture and stance. Internet circulation thus functions as a high-speed laboratory for processes historical linguistics usually observes only in slow motion.</w:t>
      </w:r>
    </w:p>
    <w:p>
      <w:pPr>
        <w:spacing w:before="240" w:after="80" w:line="240" w:lineRule="auto"/>
      </w:pPr>
      <w:r>
        <w:rPr>
          <w:rFonts w:ascii="Times New Roman" w:hAnsi="Times New Roman"/>
          <w:b/>
          <w:sz w:val="26"/>
        </w:rPr>
        <w:t>11. Expressive Meaning, Indexicality, and the Social Lexicon</w:t>
      </w:r>
    </w:p>
    <w:p>
      <w:pPr>
        <w:spacing w:before="0" w:after="120" w:line="240" w:lineRule="auto"/>
        <w:jc w:val="both"/>
      </w:pPr>
      <w:r>
        <w:rPr>
          <w:rFonts w:ascii="Times New Roman" w:hAnsi="Times New Roman"/>
          <w:sz w:val="22"/>
        </w:rPr>
        <w:t xml:space="preserve">The most precise formal home for </w:t>
      </w:r>
      <w:r>
        <w:rPr>
          <w:rFonts w:ascii="Times New Roman" w:hAnsi="Times New Roman"/>
          <w:i/>
          <w:sz w:val="22"/>
        </w:rPr>
        <w:t>6-7</w:t>
      </w:r>
      <w:r>
        <w:rPr>
          <w:rFonts w:ascii="Times New Roman" w:hAnsi="Times New Roman"/>
          <w:sz w:val="22"/>
        </w:rPr>
        <w:t xml:space="preserve"> is the expressivist strand of semantics. Kaplan’s (1999) “The Meaning of ‘Ouch’ and ‘Oops’” treats interjections as evidence for a semantics of meaning as use, distinguishing expressive content (which displays a speaker’s attitude) from descriptive, truth-apt content. Potts (2005, 2007) develops this into a systematic account of expressives as contributing non-truth-conditional, speaker-oriented meaning—what Kaplan (1999) and Gutzmann (2015) call use-conditional meaning—independent of at-issue content. Potts’s diagnostic properties map onto </w:t>
      </w:r>
      <w:r>
        <w:rPr>
          <w:rFonts w:ascii="Times New Roman" w:hAnsi="Times New Roman"/>
          <w:i/>
          <w:sz w:val="22"/>
        </w:rPr>
        <w:t>6-7</w:t>
      </w:r>
      <w:r>
        <w:rPr>
          <w:rFonts w:ascii="Times New Roman" w:hAnsi="Times New Roman"/>
          <w:sz w:val="22"/>
        </w:rPr>
        <w:t xml:space="preserve"> with uncanny precision (Table 4); descriptive ineffability—speakers are never fully satisfied paraphrasing an expressive and resort instead to examples of use—is exactly the behaviour of teenagers and lexicographers confronted with </w:t>
      </w:r>
      <w:r>
        <w:rPr>
          <w:rFonts w:ascii="Times New Roman" w:hAnsi="Times New Roman"/>
          <w:i/>
          <w:sz w:val="22"/>
        </w:rPr>
        <w:t>6-7</w:t>
      </w:r>
      <w:r>
        <w:rPr>
          <w:rFonts w:ascii="Times New Roman" w:hAnsi="Times New Roman"/>
          <w:sz w:val="22"/>
        </w:rPr>
        <w:t>.</w:t>
      </w:r>
    </w:p>
    <w:p>
      <w:pPr>
        <w:spacing w:before="160" w:after="40" w:line="240" w:lineRule="auto"/>
      </w:pPr>
      <w:r>
        <w:rPr>
          <w:rFonts w:ascii="Times New Roman" w:hAnsi="Times New Roman"/>
          <w:b/>
          <w:sz w:val="20"/>
        </w:rPr>
        <w:t>Table 4. Potts’s (2007) diagnostic properties of expressives mapped onto “6-7.”</w:t>
      </w:r>
    </w:p>
    <w:tbl>
      <w:tblPr>
        <w:tblStyle w:val="TableGrid"/>
        <w:tblW w:type="auto" w:w="0"/>
        <w:jc w:val="center"/>
        <w:tblLook w:firstColumn="1" w:firstRow="1" w:lastColumn="0" w:lastRow="0" w:noHBand="0" w:noVBand="1" w:val="04A0"/>
      </w:tblPr>
      <w:tblGrid>
        <w:gridCol w:w="3120"/>
        <w:gridCol w:w="3120"/>
        <w:gridCol w:w="3120"/>
      </w:tblGrid>
      <w:tr>
        <w:tc>
          <w:tcPr>
            <w:tcW w:type="dxa" w:w="2016"/>
          </w:tcPr>
          <w:p>
            <w:pPr>
              <w:spacing w:after="40"/>
            </w:pPr>
            <w:r>
              <w:rPr>
                <w:rFonts w:ascii="Times New Roman" w:hAnsi="Times New Roman"/>
                <w:b/>
                <w:sz w:val="19"/>
              </w:rPr>
              <w:t>Property</w:t>
            </w:r>
          </w:p>
        </w:tc>
        <w:tc>
          <w:tcPr>
            <w:tcW w:type="dxa" w:w="3888"/>
          </w:tcPr>
          <w:p>
            <w:pPr>
              <w:spacing w:after="40"/>
            </w:pPr>
            <w:r>
              <w:rPr>
                <w:rFonts w:ascii="Times New Roman" w:hAnsi="Times New Roman"/>
                <w:b/>
                <w:sz w:val="19"/>
              </w:rPr>
              <w:t>Definition (Potts, 2007)</w:t>
            </w:r>
          </w:p>
        </w:tc>
        <w:tc>
          <w:tcPr>
            <w:tcW w:type="dxa" w:w="3456"/>
          </w:tcPr>
          <w:p>
            <w:pPr>
              <w:spacing w:after="40"/>
            </w:pPr>
            <w:r>
              <w:rPr>
                <w:rFonts w:ascii="Times New Roman" w:hAnsi="Times New Roman"/>
                <w:b/>
                <w:sz w:val="19"/>
              </w:rPr>
              <w:t>Manifestation in “6-7”</w:t>
            </w:r>
          </w:p>
        </w:tc>
      </w:tr>
      <w:tr>
        <w:tc>
          <w:tcPr>
            <w:tcW w:type="dxa" w:w="2016"/>
          </w:tcPr>
          <w:p>
            <w:pPr>
              <w:spacing w:after="40"/>
            </w:pPr>
            <w:r>
              <w:rPr>
                <w:rFonts w:ascii="Times New Roman" w:hAnsi="Times New Roman"/>
                <w:sz w:val="18"/>
              </w:rPr>
              <w:t>Independence</w:t>
            </w:r>
          </w:p>
        </w:tc>
        <w:tc>
          <w:tcPr>
            <w:tcW w:type="dxa" w:w="3888"/>
          </w:tcPr>
          <w:p>
            <w:pPr>
              <w:spacing w:after="40"/>
            </w:pPr>
            <w:r>
              <w:rPr>
                <w:rFonts w:ascii="Times New Roman" w:hAnsi="Times New Roman"/>
                <w:sz w:val="18"/>
              </w:rPr>
              <w:t xml:space="preserve">Expressive content is </w:t>
            </w:r>
            <w:r>
              <w:rPr>
                <w:rFonts w:ascii="Times New Roman" w:hAnsi="Times New Roman"/>
                <w:i/>
                <w:sz w:val="18"/>
              </w:rPr>
              <w:t>largely</w:t>
            </w:r>
            <w:r>
              <w:rPr>
                <w:rFonts w:ascii="Times New Roman" w:hAnsi="Times New Roman"/>
                <w:sz w:val="18"/>
              </w:rPr>
              <w:t xml:space="preserve"> independent of—and does not affect—the at-issue/descriptive content</w:t>
            </w:r>
          </w:p>
        </w:tc>
        <w:tc>
          <w:tcPr>
            <w:tcW w:type="dxa" w:w="3456"/>
          </w:tcPr>
          <w:p>
            <w:pPr>
              <w:spacing w:after="40"/>
            </w:pPr>
            <w:r>
              <w:rPr>
                <w:rFonts w:ascii="Times New Roman" w:hAnsi="Times New Roman"/>
                <w:sz w:val="18"/>
              </w:rPr>
              <w:t>Adds no proposition to any sentence it punctuates</w:t>
            </w:r>
          </w:p>
        </w:tc>
      </w:tr>
      <w:tr>
        <w:tc>
          <w:tcPr>
            <w:tcW w:type="dxa" w:w="2016"/>
          </w:tcPr>
          <w:p>
            <w:pPr>
              <w:spacing w:after="40"/>
            </w:pPr>
            <w:r>
              <w:rPr>
                <w:rFonts w:ascii="Times New Roman" w:hAnsi="Times New Roman"/>
                <w:sz w:val="18"/>
              </w:rPr>
              <w:t>Nondisplaceability</w:t>
            </w:r>
          </w:p>
        </w:tc>
        <w:tc>
          <w:tcPr>
            <w:tcW w:type="dxa" w:w="3888"/>
          </w:tcPr>
          <w:p>
            <w:pPr>
              <w:spacing w:after="40"/>
            </w:pPr>
            <w:r>
              <w:rPr>
                <w:rFonts w:ascii="Times New Roman" w:hAnsi="Times New Roman"/>
                <w:sz w:val="18"/>
              </w:rPr>
              <w:t>Predicates something of the utterance situation (the here-and-now)</w:t>
            </w:r>
          </w:p>
        </w:tc>
        <w:tc>
          <w:tcPr>
            <w:tcW w:type="dxa" w:w="3456"/>
          </w:tcPr>
          <w:p>
            <w:pPr>
              <w:spacing w:after="40"/>
            </w:pPr>
            <w:r>
              <w:rPr>
                <w:rFonts w:ascii="Times New Roman" w:hAnsi="Times New Roman"/>
                <w:sz w:val="18"/>
              </w:rPr>
              <w:t>Performs the present moment; cannot report a past “6-7”</w:t>
            </w:r>
          </w:p>
        </w:tc>
      </w:tr>
      <w:tr>
        <w:tc>
          <w:tcPr>
            <w:tcW w:type="dxa" w:w="2016"/>
          </w:tcPr>
          <w:p>
            <w:pPr>
              <w:spacing w:after="40"/>
            </w:pPr>
            <w:r>
              <w:rPr>
                <w:rFonts w:ascii="Times New Roman" w:hAnsi="Times New Roman"/>
                <w:sz w:val="18"/>
              </w:rPr>
              <w:t>Perspective dependence</w:t>
            </w:r>
          </w:p>
        </w:tc>
        <w:tc>
          <w:tcPr>
            <w:tcW w:type="dxa" w:w="3888"/>
          </w:tcPr>
          <w:p>
            <w:pPr>
              <w:spacing w:after="40"/>
            </w:pPr>
            <w:r>
              <w:rPr>
                <w:rFonts w:ascii="Times New Roman" w:hAnsi="Times New Roman"/>
                <w:sz w:val="18"/>
              </w:rPr>
              <w:t>Evaluated from a perspective, usually the speaker’s</w:t>
            </w:r>
          </w:p>
        </w:tc>
        <w:tc>
          <w:tcPr>
            <w:tcW w:type="dxa" w:w="3456"/>
          </w:tcPr>
          <w:p>
            <w:pPr>
              <w:spacing w:after="40"/>
            </w:pPr>
            <w:r>
              <w:rPr>
                <w:rFonts w:ascii="Times New Roman" w:hAnsi="Times New Roman"/>
                <w:sz w:val="18"/>
              </w:rPr>
              <w:t>Signals the speaker’s stance/affiliation, not a fact</w:t>
            </w:r>
          </w:p>
        </w:tc>
      </w:tr>
      <w:tr>
        <w:tc>
          <w:tcPr>
            <w:tcW w:type="dxa" w:w="2016"/>
          </w:tcPr>
          <w:p>
            <w:pPr>
              <w:spacing w:after="40"/>
            </w:pPr>
            <w:r>
              <w:rPr>
                <w:rFonts w:ascii="Times New Roman" w:hAnsi="Times New Roman"/>
                <w:sz w:val="18"/>
              </w:rPr>
              <w:t>Descriptive ineffability</w:t>
            </w:r>
          </w:p>
        </w:tc>
        <w:tc>
          <w:tcPr>
            <w:tcW w:type="dxa" w:w="3888"/>
          </w:tcPr>
          <w:p>
            <w:pPr>
              <w:spacing w:after="40"/>
            </w:pPr>
            <w:r>
              <w:rPr>
                <w:rFonts w:ascii="Times New Roman" w:hAnsi="Times New Roman"/>
                <w:sz w:val="18"/>
              </w:rPr>
              <w:t xml:space="preserve">Speakers are never </w:t>
            </w:r>
            <w:r>
              <w:rPr>
                <w:rFonts w:ascii="Times New Roman" w:hAnsi="Times New Roman"/>
                <w:i/>
                <w:sz w:val="18"/>
              </w:rPr>
              <w:t>fully satisfied</w:t>
            </w:r>
            <w:r>
              <w:rPr>
                <w:rFonts w:ascii="Times New Roman" w:hAnsi="Times New Roman"/>
                <w:sz w:val="18"/>
              </w:rPr>
              <w:t xml:space="preserve"> paraphrasing it in descriptive terms</w:t>
            </w:r>
          </w:p>
        </w:tc>
        <w:tc>
          <w:tcPr>
            <w:tcW w:type="dxa" w:w="3456"/>
          </w:tcPr>
          <w:p>
            <w:pPr>
              <w:spacing w:after="40"/>
            </w:pPr>
            <w:r>
              <w:rPr>
                <w:rFonts w:ascii="Times New Roman" w:hAnsi="Times New Roman"/>
                <w:sz w:val="18"/>
              </w:rPr>
              <w:t xml:space="preserve">Defined by </w:t>
            </w:r>
            <w:r>
              <w:rPr>
                <w:rFonts w:ascii="Times New Roman" w:hAnsi="Times New Roman"/>
                <w:i/>
                <w:sz w:val="18"/>
              </w:rPr>
              <w:t>when</w:t>
            </w:r>
            <w:r>
              <w:rPr>
                <w:rFonts w:ascii="Times New Roman" w:hAnsi="Times New Roman"/>
                <w:sz w:val="18"/>
              </w:rPr>
              <w:t xml:space="preserve"> it is said, not </w:t>
            </w:r>
            <w:r>
              <w:rPr>
                <w:rFonts w:ascii="Times New Roman" w:hAnsi="Times New Roman"/>
                <w:i/>
                <w:sz w:val="18"/>
              </w:rPr>
              <w:t>what</w:t>
            </w:r>
            <w:r>
              <w:rPr>
                <w:rFonts w:ascii="Times New Roman" w:hAnsi="Times New Roman"/>
                <w:sz w:val="18"/>
              </w:rPr>
              <w:t xml:space="preserve"> it denotes</w:t>
            </w:r>
          </w:p>
        </w:tc>
      </w:tr>
      <w:tr>
        <w:tc>
          <w:tcPr>
            <w:tcW w:type="dxa" w:w="2016"/>
          </w:tcPr>
          <w:p>
            <w:pPr>
              <w:spacing w:after="40"/>
            </w:pPr>
            <w:r>
              <w:rPr>
                <w:rFonts w:ascii="Times New Roman" w:hAnsi="Times New Roman"/>
                <w:sz w:val="18"/>
              </w:rPr>
              <w:t>Immediacy</w:t>
            </w:r>
          </w:p>
        </w:tc>
        <w:tc>
          <w:tcPr>
            <w:tcW w:type="dxa" w:w="3888"/>
          </w:tcPr>
          <w:p>
            <w:pPr>
              <w:spacing w:after="40"/>
            </w:pPr>
            <w:r>
              <w:rPr>
                <w:rFonts w:ascii="Times New Roman" w:hAnsi="Times New Roman"/>
                <w:sz w:val="18"/>
              </w:rPr>
              <w:t>Like a performative, it achieves its act simply by being uttered</w:t>
            </w:r>
          </w:p>
        </w:tc>
        <w:tc>
          <w:tcPr>
            <w:tcW w:type="dxa" w:w="3456"/>
          </w:tcPr>
          <w:p>
            <w:pPr>
              <w:spacing w:after="40"/>
            </w:pPr>
            <w:r>
              <w:rPr>
                <w:rFonts w:ascii="Times New Roman" w:hAnsi="Times New Roman"/>
                <w:sz w:val="18"/>
              </w:rPr>
              <w:t xml:space="preserve">Saying it </w:t>
            </w:r>
            <w:r>
              <w:rPr>
                <w:rFonts w:ascii="Times New Roman" w:hAnsi="Times New Roman"/>
                <w:i/>
                <w:sz w:val="18"/>
              </w:rPr>
              <w:t>is</w:t>
            </w:r>
            <w:r>
              <w:rPr>
                <w:rFonts w:ascii="Times New Roman" w:hAnsi="Times New Roman"/>
                <w:sz w:val="18"/>
              </w:rPr>
              <w:t xml:space="preserve"> the social act</w:t>
            </w:r>
          </w:p>
        </w:tc>
      </w:tr>
      <w:tr>
        <w:tc>
          <w:tcPr>
            <w:tcW w:type="dxa" w:w="2016"/>
          </w:tcPr>
          <w:p>
            <w:pPr>
              <w:spacing w:after="40"/>
            </w:pPr>
            <w:r>
              <w:rPr>
                <w:rFonts w:ascii="Times New Roman" w:hAnsi="Times New Roman"/>
                <w:sz w:val="18"/>
              </w:rPr>
              <w:t>Repeatability</w:t>
            </w:r>
          </w:p>
        </w:tc>
        <w:tc>
          <w:tcPr>
            <w:tcW w:type="dxa" w:w="3888"/>
          </w:tcPr>
          <w:p>
            <w:pPr>
              <w:spacing w:after="40"/>
            </w:pPr>
            <w:r>
              <w:rPr>
                <w:rFonts w:ascii="Times New Roman" w:hAnsi="Times New Roman"/>
                <w:sz w:val="18"/>
              </w:rPr>
              <w:t>Repetition strengthens rather than becoming redundant</w:t>
            </w:r>
          </w:p>
        </w:tc>
        <w:tc>
          <w:tcPr>
            <w:tcW w:type="dxa" w:w="3456"/>
          </w:tcPr>
          <w:p>
            <w:pPr>
              <w:spacing w:after="40"/>
            </w:pPr>
            <w:r>
              <w:rPr>
                <w:rFonts w:ascii="Times New Roman" w:hAnsi="Times New Roman"/>
                <w:sz w:val="18"/>
              </w:rPr>
              <w:t>Chanted, echoic deployment in classrooms and arenas</w:t>
            </w:r>
          </w:p>
        </w:tc>
      </w:tr>
    </w:tbl>
    <w:p>
      <w:pPr>
        <w:spacing w:before="0" w:after="120" w:line="240" w:lineRule="auto"/>
      </w:pPr>
      <w:r>
        <w:rPr>
          <w:rFonts w:ascii="Times New Roman" w:hAnsi="Times New Roman"/>
          <w:i/>
          <w:sz w:val="18"/>
        </w:rPr>
        <w:t xml:space="preserve">Note. </w:t>
      </w:r>
      <w:r>
        <w:rPr>
          <w:rFonts w:ascii="Times New Roman" w:hAnsi="Times New Roman"/>
          <w:i/>
          <w:sz w:val="18"/>
        </w:rPr>
        <w:t xml:space="preserve">Property names and definitions follow Potts (2007); the right-hand column is the present author’s application to </w:t>
      </w:r>
      <w:r>
        <w:rPr>
          <w:rFonts w:ascii="Times New Roman" w:hAnsi="Times New Roman"/>
          <w:i/>
          <w:sz w:val="18"/>
        </w:rPr>
        <w:t>6-7</w:t>
      </w:r>
      <w:r>
        <w:rPr>
          <w:rFonts w:ascii="Times New Roman" w:hAnsi="Times New Roman"/>
          <w:i/>
          <w:sz w:val="18"/>
        </w:rPr>
        <w:t xml:space="preserve"> and is interpretive rather than sourced.</w:t>
      </w:r>
    </w:p>
    <w:p>
      <w:pPr>
        <w:spacing w:before="0" w:after="120" w:line="240" w:lineRule="auto"/>
        <w:jc w:val="both"/>
      </w:pPr>
      <w:r>
        <w:rPr>
          <w:rFonts w:ascii="Times New Roman" w:hAnsi="Times New Roman"/>
          <w:sz w:val="22"/>
        </w:rPr>
        <w:t xml:space="preserve">If </w:t>
      </w:r>
      <w:r>
        <w:rPr>
          <w:rFonts w:ascii="Times New Roman" w:hAnsi="Times New Roman"/>
          <w:i/>
          <w:sz w:val="22"/>
        </w:rPr>
        <w:t>6-7</w:t>
      </w:r>
      <w:r>
        <w:rPr>
          <w:rFonts w:ascii="Times New Roman" w:hAnsi="Times New Roman"/>
          <w:sz w:val="22"/>
        </w:rPr>
        <w:t xml:space="preserve"> is not denotational, what </w:t>
      </w:r>
      <w:r>
        <w:rPr>
          <w:rFonts w:ascii="Times New Roman" w:hAnsi="Times New Roman"/>
          <w:i/>
          <w:sz w:val="22"/>
        </w:rPr>
        <w:t>is</w:t>
      </w:r>
      <w:r>
        <w:rPr>
          <w:rFonts w:ascii="Times New Roman" w:hAnsi="Times New Roman"/>
          <w:sz w:val="22"/>
        </w:rPr>
        <w:t xml:space="preserve"> its meaning? Sociolinguistics answers: indexical. Silverstein’s (2003) indexical order holds that forms acquire social meaning by indexing macro-social categories in micro-level interaction. Eckert (2008, 2018) argues that the meanings of linguistic variables are not fixed denotations but an </w:t>
      </w:r>
      <w:r>
        <w:rPr>
          <w:rFonts w:ascii="Times New Roman" w:hAnsi="Times New Roman"/>
          <w:i/>
          <w:sz w:val="22"/>
        </w:rPr>
        <w:t>indexical field</w:t>
      </w:r>
      <w:r>
        <w:rPr>
          <w:rFonts w:ascii="Times New Roman" w:hAnsi="Times New Roman"/>
          <w:sz w:val="22"/>
        </w:rPr>
        <w:t xml:space="preserve">—a constellation of ideologically related meanings activated in situated use to construct identity and signal stance. On this view the “meaning” of </w:t>
      </w:r>
      <w:r>
        <w:rPr>
          <w:rFonts w:ascii="Times New Roman" w:hAnsi="Times New Roman"/>
          <w:i/>
          <w:sz w:val="22"/>
        </w:rPr>
        <w:t>6-7</w:t>
      </w:r>
      <w:r>
        <w:rPr>
          <w:rFonts w:ascii="Times New Roman" w:hAnsi="Times New Roman"/>
          <w:sz w:val="22"/>
        </w:rPr>
        <w:t xml:space="preserve"> just </w:t>
      </w:r>
      <w:r>
        <w:rPr>
          <w:rFonts w:ascii="Times New Roman" w:hAnsi="Times New Roman"/>
          <w:i/>
          <w:sz w:val="22"/>
        </w:rPr>
        <w:t>is</w:t>
      </w:r>
      <w:r>
        <w:rPr>
          <w:rFonts w:ascii="Times New Roman" w:hAnsi="Times New Roman"/>
          <w:sz w:val="22"/>
        </w:rPr>
        <w:t xml:space="preserve"> its indexing of Generation Alpha in-group membership, playful stance, and shared participation: real, learnable, and socially consequential, yet categorically different from reference.</w:t>
      </w:r>
    </w:p>
    <w:p>
      <w:pPr>
        <w:spacing w:before="240" w:after="80" w:line="240" w:lineRule="auto"/>
      </w:pPr>
      <w:r>
        <w:rPr>
          <w:rFonts w:ascii="Times New Roman" w:hAnsi="Times New Roman"/>
          <w:b/>
          <w:sz w:val="26"/>
        </w:rPr>
        <w:t>12. Slang, Anti-Language, and Memetic Spread</w:t>
      </w:r>
    </w:p>
    <w:p>
      <w:pPr>
        <w:spacing w:before="0" w:after="120" w:line="240" w:lineRule="auto"/>
        <w:jc w:val="both"/>
      </w:pPr>
      <w:r>
        <w:rPr>
          <w:rFonts w:ascii="Times New Roman" w:hAnsi="Times New Roman"/>
          <w:sz w:val="22"/>
        </w:rPr>
        <w:t xml:space="preserve">The sociology of slang independently predicts items like </w:t>
      </w:r>
      <w:r>
        <w:rPr>
          <w:rFonts w:ascii="Times New Roman" w:hAnsi="Times New Roman"/>
          <w:i/>
          <w:sz w:val="22"/>
        </w:rPr>
        <w:t>6-7</w:t>
      </w:r>
      <w:r>
        <w:rPr>
          <w:rFonts w:ascii="Times New Roman" w:hAnsi="Times New Roman"/>
          <w:sz w:val="22"/>
        </w:rPr>
        <w:t xml:space="preserve">. Eble (1996) identifies the central purposes of slang as “cementing group identity and opposing authority,” with slang “deliberately chosen … to mark … inclusion in … a social group.” Halliday’s (1976) anti-language describes how oppositional groups generate vocabulary that “serves to create and maintain social structure through conversation,” often via overlexicalization. </w:t>
      </w:r>
      <w:r>
        <w:rPr>
          <w:rFonts w:ascii="Times New Roman" w:hAnsi="Times New Roman"/>
          <w:i/>
          <w:sz w:val="22"/>
        </w:rPr>
        <w:t>6-7</w:t>
      </w:r>
      <w:r>
        <w:rPr>
          <w:rFonts w:ascii="Times New Roman" w:hAnsi="Times New Roman"/>
          <w:sz w:val="22"/>
        </w:rPr>
        <w:t>, as a shibboleth that bonds adolescents and irritates authority figures, performs this prototypical solidarity-and-opposition function with denotational content reduced essentially to zero.</w:t>
      </w:r>
    </w:p>
    <w:p>
      <w:pPr>
        <w:spacing w:before="0" w:after="120" w:line="240" w:lineRule="auto"/>
        <w:jc w:val="both"/>
      </w:pPr>
      <w:r>
        <w:rPr>
          <w:rFonts w:ascii="Times New Roman" w:hAnsi="Times New Roman"/>
          <w:sz w:val="22"/>
        </w:rPr>
        <w:t xml:space="preserve">Finally, the mechanism of </w:t>
      </w:r>
      <w:r>
        <w:rPr>
          <w:rFonts w:ascii="Times New Roman" w:hAnsi="Times New Roman"/>
          <w:i/>
          <w:sz w:val="22"/>
        </w:rPr>
        <w:t>6-7</w:t>
      </w:r>
      <w:r>
        <w:rPr>
          <w:rFonts w:ascii="Times New Roman" w:hAnsi="Times New Roman"/>
          <w:sz w:val="22"/>
        </w:rPr>
        <w:t xml:space="preserve">’s spread is memetic rather than semantic. Dawkins (1976) coined “meme” as “a unit of cultural transmission, or a unit of imitation” propagating by copying—by replication, not by conveying fixed content. McCulloch (2019) shows that the “artfully disarrayed” form of animal-meme language made it “more likely to spread,” attributing virality to sound, form, and play rather than semantic payload. </w:t>
      </w:r>
      <w:r>
        <w:rPr>
          <w:rFonts w:ascii="Times New Roman" w:hAnsi="Times New Roman"/>
          <w:i/>
          <w:sz w:val="22"/>
        </w:rPr>
        <w:t>6-7</w:t>
      </w:r>
      <w:r>
        <w:rPr>
          <w:rFonts w:ascii="Times New Roman" w:hAnsi="Times New Roman"/>
          <w:sz w:val="22"/>
        </w:rPr>
        <w:t xml:space="preserve"> spreads as Dawkinsian imitation: a catchy form plus a gesture, replicating because it is “just funny to say.” The broader “brainrot” lexicon—</w:t>
      </w:r>
      <w:r>
        <w:rPr>
          <w:rFonts w:ascii="Times New Roman" w:hAnsi="Times New Roman"/>
          <w:i/>
          <w:sz w:val="22"/>
        </w:rPr>
        <w:t>skibidi</w:t>
      </w:r>
      <w:r>
        <w:rPr>
          <w:rFonts w:ascii="Times New Roman" w:hAnsi="Times New Roman"/>
          <w:sz w:val="22"/>
        </w:rPr>
        <w:t xml:space="preserve"> (a “pseudo word,” per Aleksic), </w:t>
      </w:r>
      <w:r>
        <w:rPr>
          <w:rFonts w:ascii="Times New Roman" w:hAnsi="Times New Roman"/>
          <w:i/>
          <w:sz w:val="22"/>
        </w:rPr>
        <w:t>Ohio</w:t>
      </w:r>
      <w:r>
        <w:rPr>
          <w:rFonts w:ascii="Times New Roman" w:hAnsi="Times New Roman"/>
          <w:sz w:val="22"/>
        </w:rPr>
        <w:t xml:space="preserve">, </w:t>
      </w:r>
      <w:r>
        <w:rPr>
          <w:rFonts w:ascii="Times New Roman" w:hAnsi="Times New Roman"/>
          <w:i/>
          <w:sz w:val="22"/>
        </w:rPr>
        <w:t>gyat</w:t>
      </w:r>
      <w:r>
        <w:rPr>
          <w:rFonts w:ascii="Times New Roman" w:hAnsi="Times New Roman"/>
          <w:sz w:val="22"/>
        </w:rPr>
        <w:t>—populates the same category, and Oxford’s selection of “brain rot” as its 2024 Word of the Year marks the cultural recognition of deliberately contentless online language (Oxford University Press, 2024; Today, 2024).</w:t>
      </w:r>
    </w:p>
    <w:p>
      <w:pPr>
        <w:spacing w:before="240" w:after="80" w:line="240" w:lineRule="auto"/>
      </w:pPr>
      <w:r>
        <w:rPr>
          <w:rFonts w:ascii="Times New Roman" w:hAnsi="Times New Roman"/>
          <w:b/>
          <w:sz w:val="26"/>
        </w:rPr>
        <w:t>13. Discussion</w:t>
      </w:r>
    </w:p>
    <w:p>
      <w:pPr>
        <w:spacing w:before="0" w:after="120" w:line="240" w:lineRule="auto"/>
        <w:jc w:val="both"/>
      </w:pPr>
      <w:r>
        <w:rPr>
          <w:rFonts w:ascii="Times New Roman" w:hAnsi="Times New Roman"/>
          <w:sz w:val="22"/>
        </w:rPr>
        <w:t>Three themes emerge from this synthesis, summarised by the disciplinary convergence in Figure 4.</w:t>
      </w:r>
    </w:p>
    <w:p>
      <w:pPr>
        <w:spacing w:before="160" w:after="40" w:line="240" w:lineRule="auto"/>
        <w:jc w:val="center"/>
      </w:pPr>
      <w:r>
        <w:drawing>
          <wp:inline xmlns:a="http://schemas.openxmlformats.org/drawingml/2006/main" xmlns:pic="http://schemas.openxmlformats.org/drawingml/2006/picture">
            <wp:extent cx="5394960" cy="3484341"/>
            <wp:docPr id="4" name="Picture 4"/>
            <wp:cNvGraphicFramePr>
              <a:graphicFrameLocks noChangeAspect="1"/>
            </wp:cNvGraphicFramePr>
            <a:graphic>
              <a:graphicData uri="http://schemas.openxmlformats.org/drawingml/2006/picture">
                <pic:pic>
                  <pic:nvPicPr>
                    <pic:cNvPr id="0" name="fig4_convergence.png"/>
                    <pic:cNvPicPr/>
                  </pic:nvPicPr>
                  <pic:blipFill>
                    <a:blip r:embed="rId12"/>
                    <a:stretch>
                      <a:fillRect/>
                    </a:stretch>
                  </pic:blipFill>
                  <pic:spPr>
                    <a:xfrm>
                      <a:off x="0" y="0"/>
                      <a:ext cx="5394960" cy="3484341"/>
                    </a:xfrm>
                    <a:prstGeom prst="rect"/>
                  </pic:spPr>
                </pic:pic>
              </a:graphicData>
            </a:graphic>
          </wp:inline>
        </w:drawing>
      </w:r>
    </w:p>
    <w:p>
      <w:pPr>
        <w:spacing w:before="0" w:after="160" w:line="240" w:lineRule="auto"/>
        <w:jc w:val="center"/>
      </w:pPr>
      <w:r>
        <w:rPr>
          <w:rFonts w:ascii="Times New Roman" w:hAnsi="Times New Roman"/>
          <w:b/>
          <w:sz w:val="18"/>
        </w:rPr>
        <w:t>Figure 4. Disciplinary convergence on phatic-only language as social rather than denotational.</w:t>
      </w:r>
    </w:p>
    <w:p>
      <w:pPr>
        <w:spacing w:before="0" w:after="120" w:line="240" w:lineRule="auto"/>
        <w:jc w:val="both"/>
      </w:pPr>
      <w:r>
        <w:rPr>
          <w:rFonts w:ascii="Times New Roman" w:hAnsi="Times New Roman"/>
          <w:b/>
          <w:sz w:val="22"/>
        </w:rPr>
        <w:t xml:space="preserve">First, the lexicographic paradox is a category signal, not an embarrassment. </w:t>
      </w:r>
      <w:r>
        <w:rPr>
          <w:rFonts w:ascii="Times New Roman" w:hAnsi="Times New Roman"/>
          <w:sz w:val="22"/>
        </w:rPr>
        <w:t xml:space="preserve">Dictionary.com’s gloss (“meaningless, ubiquitous, and nonsensical … still … meaningful to the people who use it because of the connection it fosters”) is a near-paraphrase of Malinowski’s phatic communion and Potts’s expressive meaning. Merriam-Webster’s slang entry is equally telling: it defines </w:t>
      </w:r>
      <w:r>
        <w:rPr>
          <w:rFonts w:ascii="Times New Roman" w:hAnsi="Times New Roman"/>
          <w:i/>
          <w:sz w:val="22"/>
        </w:rPr>
        <w:t>six seven</w:t>
      </w:r>
      <w:r>
        <w:rPr>
          <w:rFonts w:ascii="Times New Roman" w:hAnsi="Times New Roman"/>
          <w:sz w:val="22"/>
        </w:rPr>
        <w:t xml:space="preserve"> as “a nonsensical expression connected to a song and a basketball player” (Merriam-Webster, n.d.)—that is, by </w:t>
      </w:r>
      <w:r>
        <w:rPr>
          <w:rFonts w:ascii="Times New Roman" w:hAnsi="Times New Roman"/>
          <w:i/>
          <w:sz w:val="22"/>
        </w:rPr>
        <w:t>what it attaches to</w:t>
      </w:r>
      <w:r>
        <w:rPr>
          <w:rFonts w:ascii="Times New Roman" w:hAnsi="Times New Roman"/>
          <w:sz w:val="22"/>
        </w:rPr>
        <w:t xml:space="preserve"> rather than by what it denotes, exactly the behaviour descriptive ineffability predicts.</w:t>
      </w:r>
    </w:p>
    <w:p>
      <w:pPr>
        <w:spacing w:before="0" w:after="120" w:line="240" w:lineRule="auto"/>
        <w:jc w:val="both"/>
      </w:pPr>
      <w:r>
        <w:rPr>
          <w:rFonts w:ascii="Times New Roman" w:hAnsi="Times New Roman"/>
          <w:b/>
          <w:sz w:val="22"/>
        </w:rPr>
        <w:t xml:space="preserve">Second, the case scopes meaning-based theory rather than refuting it. </w:t>
      </w:r>
      <w:r>
        <w:rPr>
          <w:rFonts w:ascii="Times New Roman" w:hAnsi="Times New Roman"/>
          <w:sz w:val="22"/>
        </w:rPr>
        <w:t xml:space="preserve">Referential and truth-conditional semantics were designed for the truth-apt, denotational core of the lexicon and remain powerful there. What </w:t>
      </w:r>
      <w:r>
        <w:rPr>
          <w:rFonts w:ascii="Times New Roman" w:hAnsi="Times New Roman"/>
          <w:i/>
          <w:sz w:val="22"/>
        </w:rPr>
        <w:t>6-7</w:t>
      </w:r>
      <w:r>
        <w:rPr>
          <w:rFonts w:ascii="Times New Roman" w:hAnsi="Times New Roman"/>
          <w:sz w:val="22"/>
        </w:rPr>
        <w:t xml:space="preserve"> does is make vivid the boundary the tradition already acknowledges through its marginal treatment of interjections and discourse markers. Meaning-based lexical theory is thus locally adequate but globally incomplete, requiring supplementation by use-based (Wittgenstein; construction grammar), expressive (Kaplan; Potts), and social-indexical (Silverstein; Eckert) dimensions.</w:t>
      </w:r>
    </w:p>
    <w:p>
      <w:pPr>
        <w:spacing w:before="0" w:after="120" w:line="240" w:lineRule="auto"/>
        <w:jc w:val="both"/>
      </w:pPr>
      <w:r>
        <w:rPr>
          <w:rFonts w:ascii="Times New Roman" w:hAnsi="Times New Roman"/>
          <w:b/>
          <w:sz w:val="22"/>
        </w:rPr>
        <w:t xml:space="preserve">Third, the convergence across disciplines is itself the finding. </w:t>
      </w:r>
      <w:r>
        <w:rPr>
          <w:rFonts w:ascii="Times New Roman" w:hAnsi="Times New Roman"/>
          <w:sz w:val="22"/>
        </w:rPr>
        <w:t xml:space="preserve">Anthropology, structural linguistics, philosophy of language, sociolinguistics, media studies, and internet linguistics—developed independently and decades apart—describe the same thing: language whose function is to establish contact, mark belonging, and perform affect rather than to denote. </w:t>
      </w:r>
      <w:r>
        <w:rPr>
          <w:rFonts w:ascii="Times New Roman" w:hAnsi="Times New Roman"/>
          <w:i/>
          <w:sz w:val="22"/>
        </w:rPr>
        <w:t>6-7</w:t>
      </w:r>
      <w:r>
        <w:rPr>
          <w:rFonts w:ascii="Times New Roman" w:hAnsi="Times New Roman"/>
          <w:sz w:val="22"/>
        </w:rPr>
        <w:t xml:space="preserve"> is valuable precisely because it is phatic-only—a near-pure specimen that isolates these dimensions from any confounding denotational content, as a controlled experiment isolates a variable.</w:t>
      </w:r>
    </w:p>
    <w:p>
      <w:pPr>
        <w:spacing w:before="240" w:after="80" w:line="240" w:lineRule="auto"/>
      </w:pPr>
      <w:r>
        <w:rPr>
          <w:rFonts w:ascii="Times New Roman" w:hAnsi="Times New Roman"/>
          <w:b/>
          <w:sz w:val="26"/>
        </w:rPr>
        <w:t>14. Limitations</w:t>
      </w:r>
    </w:p>
    <w:p>
      <w:pPr>
        <w:spacing w:before="0" w:after="120" w:line="240" w:lineRule="auto"/>
        <w:jc w:val="both"/>
      </w:pPr>
      <w:r>
        <w:rPr>
          <w:rFonts w:ascii="Times New Roman" w:hAnsi="Times New Roman"/>
          <w:sz w:val="22"/>
        </w:rPr>
        <w:t xml:space="preserve">This review is constrained by its subject’s literature. No peer-reviewed study yet addresses </w:t>
      </w:r>
      <w:r>
        <w:rPr>
          <w:rFonts w:ascii="Times New Roman" w:hAnsi="Times New Roman"/>
          <w:i/>
          <w:sz w:val="22"/>
        </w:rPr>
        <w:t>6-7</w:t>
      </w:r>
      <w:r>
        <w:rPr>
          <w:rFonts w:ascii="Times New Roman" w:hAnsi="Times New Roman"/>
          <w:sz w:val="22"/>
        </w:rPr>
        <w:t xml:space="preserve"> directly, so the contemporary analysis leans on lexicographic statements and journalism quoting named linguists rather than primary empirical research. “Meaninglessness,” moreover, is a matter of degree: </w:t>
      </w:r>
      <w:r>
        <w:rPr>
          <w:rFonts w:ascii="Times New Roman" w:hAnsi="Times New Roman"/>
          <w:i/>
          <w:sz w:val="22"/>
        </w:rPr>
        <w:t>6-7</w:t>
      </w:r>
      <w:r>
        <w:rPr>
          <w:rFonts w:ascii="Times New Roman" w:hAnsi="Times New Roman"/>
          <w:sz w:val="22"/>
        </w:rPr>
        <w:t xml:space="preserve"> retains a faint indexical sense (so-so, ambivalence) and a robust social meaning, so claims that it means “nothing” should be read as “nothing </w:t>
      </w:r>
      <w:r>
        <w:rPr>
          <w:rFonts w:ascii="Times New Roman" w:hAnsi="Times New Roman"/>
          <w:i/>
          <w:sz w:val="22"/>
        </w:rPr>
        <w:t>denotational</w:t>
      </w:r>
      <w:r>
        <w:rPr>
          <w:rFonts w:ascii="Times New Roman" w:hAnsi="Times New Roman"/>
          <w:sz w:val="22"/>
        </w:rPr>
        <w:t xml:space="preserve">.” Phatic-only terms are characteristically ephemeral; whether </w:t>
      </w:r>
      <w:r>
        <w:rPr>
          <w:rFonts w:ascii="Times New Roman" w:hAnsi="Times New Roman"/>
          <w:i/>
          <w:sz w:val="22"/>
        </w:rPr>
        <w:t>6-7</w:t>
      </w:r>
      <w:r>
        <w:rPr>
          <w:rFonts w:ascii="Times New Roman" w:hAnsi="Times New Roman"/>
          <w:sz w:val="22"/>
        </w:rPr>
        <w:t xml:space="preserve"> lexicalises a stable sense, fades, or leaves a constructional residue is an open empirical question well suited to longitudinal corpus study. Finally, one origin claim—the </w:t>
      </w:r>
      <w:r>
        <w:rPr>
          <w:rFonts w:ascii="Times New Roman" w:hAnsi="Times New Roman"/>
          <w:i/>
          <w:sz w:val="22"/>
        </w:rPr>
        <w:t>10-67</w:t>
      </w:r>
      <w:r>
        <w:rPr>
          <w:rFonts w:ascii="Times New Roman" w:hAnsi="Times New Roman"/>
          <w:sz w:val="22"/>
        </w:rPr>
        <w:t xml:space="preserve"> police-code etymology—remains unverified speculation (Table 1).</w:t>
      </w:r>
    </w:p>
    <w:p>
      <w:pPr>
        <w:spacing w:before="240" w:after="80" w:line="240" w:lineRule="auto"/>
      </w:pPr>
      <w:r>
        <w:rPr>
          <w:rFonts w:ascii="Times New Roman" w:hAnsi="Times New Roman"/>
          <w:b/>
          <w:sz w:val="26"/>
        </w:rPr>
        <w:t>15. Conclusion</w:t>
      </w:r>
    </w:p>
    <w:p>
      <w:pPr>
        <w:spacing w:before="0" w:after="120" w:line="240" w:lineRule="auto"/>
        <w:jc w:val="both"/>
      </w:pPr>
      <w:r>
        <w:rPr>
          <w:rFonts w:ascii="Times New Roman" w:hAnsi="Times New Roman"/>
          <w:sz w:val="22"/>
        </w:rPr>
        <w:t xml:space="preserve">The “6-7” meme is a phatic-only slang term: an interjection whose communicative value is constituted almost entirely by social contact, in-group indexing, and affective performance, with denotational content bleached to near zero. Reviewed against meaning-based lexical theory, it does not collapse the referential and truth-conditional tradition so much as map that tradition’s edge—the same edge marked by interjections, expletives, and discourse particles. The most adequate accounts come from use-based, expressivist, and social-indexical frameworks, all of which permit “meaning” to be a conventionalised form–function pairing rather than a form–referent pairing. That a dictionary could name “impossible to define” as the defining feature of its Word of the Year is, read correctly, not a paradox but a precise empirical signal: the lexicon contains words whose meaning is their use, their stance, and their power to bond—and any theory that equates lexical meaning with reference will, at that boundary, run out of things to say exactly where </w:t>
      </w:r>
      <w:r>
        <w:rPr>
          <w:rFonts w:ascii="Times New Roman" w:hAnsi="Times New Roman"/>
          <w:i/>
          <w:sz w:val="22"/>
        </w:rPr>
        <w:t>6-7</w:t>
      </w:r>
      <w:r>
        <w:rPr>
          <w:rFonts w:ascii="Times New Roman" w:hAnsi="Times New Roman"/>
          <w:sz w:val="22"/>
        </w:rPr>
        <w:t xml:space="preserve"> begins.</w:t>
      </w:r>
    </w:p>
    <w:p>
      <w:pPr>
        <w:spacing w:before="240" w:after="80" w:line="240" w:lineRule="auto"/>
      </w:pPr>
      <w:r>
        <w:rPr>
          <w:rFonts w:ascii="Times New Roman" w:hAnsi="Times New Roman"/>
          <w:b/>
          <w:sz w:val="26"/>
        </w:rPr>
        <w:t>Declarations</w:t>
      </w:r>
    </w:p>
    <w:p>
      <w:pPr>
        <w:spacing w:before="0" w:after="80" w:line="240" w:lineRule="auto"/>
        <w:jc w:val="both"/>
      </w:pPr>
      <w:r>
        <w:rPr>
          <w:rFonts w:ascii="Times New Roman" w:hAnsi="Times New Roman"/>
          <w:b/>
          <w:sz w:val="20"/>
        </w:rPr>
        <w:t xml:space="preserve">Funding. </w:t>
      </w:r>
      <w:r>
        <w:rPr>
          <w:rFonts w:ascii="Times New Roman" w:hAnsi="Times New Roman"/>
          <w:sz w:val="20"/>
        </w:rPr>
        <w:t>The author(s) received no specific funding for this work.</w:t>
      </w:r>
    </w:p>
    <w:p>
      <w:pPr>
        <w:spacing w:before="0" w:after="80" w:line="240" w:lineRule="auto"/>
        <w:jc w:val="both"/>
      </w:pPr>
      <w:r>
        <w:rPr>
          <w:rFonts w:ascii="Times New Roman" w:hAnsi="Times New Roman"/>
          <w:b/>
          <w:sz w:val="20"/>
        </w:rPr>
        <w:t xml:space="preserve">Conflicts of interest. </w:t>
      </w:r>
      <w:r>
        <w:rPr>
          <w:rFonts w:ascii="Times New Roman" w:hAnsi="Times New Roman"/>
          <w:sz w:val="20"/>
        </w:rPr>
        <w:t>The author(s) declare no competing interests.</w:t>
      </w:r>
    </w:p>
    <w:p>
      <w:pPr>
        <w:spacing w:before="0" w:after="80" w:line="240" w:lineRule="auto"/>
        <w:jc w:val="both"/>
      </w:pPr>
      <w:r>
        <w:rPr>
          <w:rFonts w:ascii="Times New Roman" w:hAnsi="Times New Roman"/>
          <w:b/>
          <w:sz w:val="20"/>
        </w:rPr>
        <w:t xml:space="preserve">Data availability. </w:t>
      </w:r>
      <w:r>
        <w:rPr>
          <w:rFonts w:ascii="Times New Roman" w:hAnsi="Times New Roman"/>
          <w:sz w:val="20"/>
        </w:rPr>
        <w:t>This review analyses publicly available published and web sources; no new datasets were generated or analysed.</w:t>
      </w:r>
    </w:p>
    <w:p>
      <w:pPr>
        <w:spacing w:before="0" w:after="80" w:line="240" w:lineRule="auto"/>
        <w:jc w:val="both"/>
      </w:pPr>
      <w:r>
        <w:rPr>
          <w:rFonts w:ascii="Times New Roman" w:hAnsi="Times New Roman"/>
          <w:b/>
          <w:sz w:val="20"/>
        </w:rPr>
        <w:t xml:space="preserve">Methodology and AI use. </w:t>
      </w:r>
      <w:r>
        <w:rPr>
          <w:rFonts w:ascii="Times New Roman" w:hAnsi="Times New Roman"/>
          <w:sz w:val="20"/>
        </w:rPr>
        <w:t>Source discovery and a structured adversarial verification pass were conducted with AI-assisted web search; all claims were checked against cited sources, and the author(s) take responsibility for the final content.</w:t>
      </w:r>
    </w:p>
    <w:p>
      <w:pPr>
        <w:spacing w:before="240" w:after="80" w:line="240" w:lineRule="auto"/>
      </w:pPr>
      <w:r>
        <w:rPr>
          <w:rFonts w:ascii="Times New Roman" w:hAnsi="Times New Roman"/>
          <w:b/>
          <w:sz w:val="26"/>
        </w:rPr>
        <w:t>References</w:t>
      </w:r>
    </w:p>
    <w:p>
      <w:pPr>
        <w:spacing w:before="0" w:after="80" w:line="240" w:lineRule="auto"/>
        <w:ind w:left="720" w:hanging="720"/>
      </w:pPr>
      <w:r>
        <w:rPr>
          <w:rFonts w:ascii="Times New Roman" w:hAnsi="Times New Roman"/>
          <w:sz w:val="20"/>
        </w:rPr>
        <w:t xml:space="preserve">Bleacher Report. (n.d.). </w:t>
      </w:r>
      <w:r>
        <w:rPr>
          <w:rFonts w:ascii="Times New Roman" w:hAnsi="Times New Roman"/>
          <w:i/>
          <w:sz w:val="20"/>
        </w:rPr>
        <w:t>How NBA star LaMelo Ball accidentally sparked the TikTok “6-7” meme</w:t>
      </w:r>
      <w:r>
        <w:rPr>
          <w:rFonts w:ascii="Times New Roman" w:hAnsi="Times New Roman"/>
          <w:sz w:val="20"/>
        </w:rPr>
        <w:t xml:space="preserve">. </w:t>
      </w:r>
      <w:hyperlink r:id="rId13">
        <w:r>
          <w:rPr>
            <w:rFonts w:ascii="Times New Roman" w:hAnsi="Times New Roman"/>
            <w:sz w:val="20"/>
            <w:color w:val="0000FF"/>
            <w:u w:val="single"/>
          </w:rPr>
          <w:t xml:space="preserve">https://bleacherreport.com/articles/25240758-how-nba-star-lamelo-ball-accidentally-sparked-tiktok-6-7-meme</w:t>
        </w:r>
      </w:hyperlink>
    </w:p>
    <w:p>
      <w:pPr>
        <w:spacing w:before="0" w:after="80" w:line="240" w:lineRule="auto"/>
        <w:ind w:left="720" w:hanging="720"/>
      </w:pPr>
      <w:r>
        <w:rPr>
          <w:rFonts w:ascii="Times New Roman" w:hAnsi="Times New Roman"/>
          <w:sz w:val="20"/>
        </w:rPr>
        <w:t xml:space="preserve">Blakemore, D. (2002). </w:t>
      </w:r>
      <w:r>
        <w:rPr>
          <w:rFonts w:ascii="Times New Roman" w:hAnsi="Times New Roman"/>
          <w:i/>
          <w:sz w:val="20"/>
        </w:rPr>
        <w:t>Relevance and linguistic meaning: The semantics and pragmatics of discourse markers</w:t>
      </w:r>
      <w:r>
        <w:rPr>
          <w:rFonts w:ascii="Times New Roman" w:hAnsi="Times New Roman"/>
          <w:sz w:val="20"/>
        </w:rPr>
        <w:t>. Cambridge University Press.</w:t>
      </w:r>
    </w:p>
    <w:p>
      <w:pPr>
        <w:spacing w:before="0" w:after="80" w:line="240" w:lineRule="auto"/>
        <w:ind w:left="720" w:hanging="720"/>
      </w:pPr>
      <w:r>
        <w:rPr>
          <w:rFonts w:ascii="Times New Roman" w:hAnsi="Times New Roman"/>
          <w:sz w:val="20"/>
        </w:rPr>
        <w:t xml:space="preserve">CNN. (2025, October 18). </w:t>
      </w:r>
      <w:r>
        <w:rPr>
          <w:rFonts w:ascii="Times New Roman" w:hAnsi="Times New Roman"/>
          <w:i/>
          <w:sz w:val="20"/>
        </w:rPr>
        <w:t>The “6-7” meme can be annoying. Kids are shouting it for a reason</w:t>
      </w:r>
      <w:r>
        <w:rPr>
          <w:rFonts w:ascii="Times New Roman" w:hAnsi="Times New Roman"/>
          <w:sz w:val="20"/>
        </w:rPr>
        <w:t xml:space="preserve">. </w:t>
      </w:r>
      <w:hyperlink r:id="rId14">
        <w:r>
          <w:rPr>
            <w:rFonts w:ascii="Times New Roman" w:hAnsi="Times New Roman"/>
            <w:sz w:val="20"/>
            <w:color w:val="0000FF"/>
            <w:u w:val="single"/>
          </w:rPr>
          <w:t xml:space="preserve">https://www.cnn.com/2025/10/18/us/6-7-meme-slang-explained-cec</w:t>
        </w:r>
      </w:hyperlink>
    </w:p>
    <w:p>
      <w:pPr>
        <w:spacing w:before="0" w:after="80" w:line="240" w:lineRule="auto"/>
        <w:ind w:left="720" w:hanging="720"/>
      </w:pPr>
      <w:r>
        <w:rPr>
          <w:rFonts w:ascii="Times New Roman" w:hAnsi="Times New Roman"/>
          <w:sz w:val="20"/>
        </w:rPr>
        <w:t xml:space="preserve">Complex. (2025). </w:t>
      </w:r>
      <w:r>
        <w:rPr>
          <w:rFonts w:ascii="Times New Roman" w:hAnsi="Times New Roman"/>
          <w:i/>
          <w:sz w:val="20"/>
        </w:rPr>
        <w:t>Skrilla’s “6-7” meme, explained</w:t>
      </w:r>
      <w:r>
        <w:rPr>
          <w:rFonts w:ascii="Times New Roman" w:hAnsi="Times New Roman"/>
          <w:sz w:val="20"/>
        </w:rPr>
        <w:t xml:space="preserve">. </w:t>
      </w:r>
      <w:hyperlink r:id="rId15">
        <w:r>
          <w:rPr>
            <w:rFonts w:ascii="Times New Roman" w:hAnsi="Times New Roman"/>
            <w:sz w:val="20"/>
            <w:color w:val="0000FF"/>
            <w:u w:val="single"/>
          </w:rPr>
          <w:t xml:space="preserve">https://www.complex.com/music/a/khal/skrilla-6-7-meme-explained</w:t>
        </w:r>
      </w:hyperlink>
    </w:p>
    <w:p>
      <w:pPr>
        <w:spacing w:before="0" w:after="80" w:line="240" w:lineRule="auto"/>
        <w:ind w:left="720" w:hanging="720"/>
      </w:pPr>
      <w:r>
        <w:rPr>
          <w:rFonts w:ascii="Times New Roman" w:hAnsi="Times New Roman"/>
          <w:sz w:val="20"/>
        </w:rPr>
        <w:t xml:space="preserve">Davidson, D. (1967). Truth and meaning. </w:t>
      </w:r>
      <w:r>
        <w:rPr>
          <w:rFonts w:ascii="Times New Roman" w:hAnsi="Times New Roman"/>
          <w:i/>
          <w:sz w:val="20"/>
        </w:rPr>
        <w:t>Synthese, 17</w:t>
      </w:r>
      <w:r>
        <w:rPr>
          <w:rFonts w:ascii="Times New Roman" w:hAnsi="Times New Roman"/>
          <w:sz w:val="20"/>
        </w:rPr>
        <w:t xml:space="preserve">(3), 304–323. </w:t>
      </w:r>
      <w:hyperlink r:id="rId16">
        <w:r>
          <w:rPr>
            <w:rFonts w:ascii="Times New Roman" w:hAnsi="Times New Roman"/>
            <w:sz w:val="20"/>
            <w:color w:val="0000FF"/>
            <w:u w:val="single"/>
          </w:rPr>
          <w:t xml:space="preserve">https://doi.org/10.1007/BF00485035</w:t>
        </w:r>
      </w:hyperlink>
    </w:p>
    <w:p>
      <w:pPr>
        <w:spacing w:before="0" w:after="80" w:line="240" w:lineRule="auto"/>
        <w:ind w:left="720" w:hanging="720"/>
      </w:pPr>
      <w:r>
        <w:rPr>
          <w:rFonts w:ascii="Times New Roman" w:hAnsi="Times New Roman"/>
          <w:sz w:val="20"/>
        </w:rPr>
        <w:t xml:space="preserve">Dawkins, R. (1976). </w:t>
      </w:r>
      <w:r>
        <w:rPr>
          <w:rFonts w:ascii="Times New Roman" w:hAnsi="Times New Roman"/>
          <w:i/>
          <w:sz w:val="20"/>
        </w:rPr>
        <w:t>The selfish gene</w:t>
      </w:r>
      <w:r>
        <w:rPr>
          <w:rFonts w:ascii="Times New Roman" w:hAnsi="Times New Roman"/>
          <w:sz w:val="20"/>
        </w:rPr>
        <w:t>. Oxford University Press.</w:t>
      </w:r>
    </w:p>
    <w:p>
      <w:pPr>
        <w:spacing w:before="0" w:after="80" w:line="240" w:lineRule="auto"/>
        <w:ind w:left="720" w:hanging="720"/>
      </w:pPr>
      <w:r>
        <w:rPr>
          <w:rFonts w:ascii="Times New Roman" w:hAnsi="Times New Roman"/>
          <w:sz w:val="20"/>
        </w:rPr>
        <w:t xml:space="preserve">Dictionary.com. (2025, October 28). </w:t>
      </w:r>
      <w:r>
        <w:rPr>
          <w:rFonts w:ascii="Times New Roman" w:hAnsi="Times New Roman"/>
          <w:i/>
          <w:sz w:val="20"/>
        </w:rPr>
        <w:t>Dictionary.com’s 2025 word of the year is “67.”</w:t>
      </w:r>
      <w:r>
        <w:rPr>
          <w:rFonts w:ascii="Times New Roman" w:hAnsi="Times New Roman"/>
          <w:sz w:val="20"/>
        </w:rPr>
        <w:t xml:space="preserve"> </w:t>
      </w:r>
      <w:hyperlink r:id="rId17">
        <w:r>
          <w:rPr>
            <w:rFonts w:ascii="Times New Roman" w:hAnsi="Times New Roman"/>
            <w:sz w:val="20"/>
            <w:color w:val="0000FF"/>
            <w:u w:val="single"/>
          </w:rPr>
          <w:t xml:space="preserve">https://www.dictionary.com/articles/word-of-the-year-2025</w:t>
        </w:r>
      </w:hyperlink>
    </w:p>
    <w:p>
      <w:pPr>
        <w:spacing w:before="0" w:after="80" w:line="240" w:lineRule="auto"/>
        <w:ind w:left="720" w:hanging="720"/>
      </w:pPr>
      <w:r>
        <w:rPr>
          <w:rFonts w:ascii="Times New Roman" w:hAnsi="Times New Roman"/>
          <w:sz w:val="20"/>
        </w:rPr>
        <w:t xml:space="preserve">Eble, C. (1996). </w:t>
      </w:r>
      <w:r>
        <w:rPr>
          <w:rFonts w:ascii="Times New Roman" w:hAnsi="Times New Roman"/>
          <w:i/>
          <w:sz w:val="20"/>
        </w:rPr>
        <w:t>Slang and sociability: In-group language among college students</w:t>
      </w:r>
      <w:r>
        <w:rPr>
          <w:rFonts w:ascii="Times New Roman" w:hAnsi="Times New Roman"/>
          <w:sz w:val="20"/>
        </w:rPr>
        <w:t>. University of North Carolina Press.</w:t>
      </w:r>
    </w:p>
    <w:p>
      <w:pPr>
        <w:spacing w:before="0" w:after="80" w:line="240" w:lineRule="auto"/>
        <w:ind w:left="720" w:hanging="720"/>
      </w:pPr>
      <w:r>
        <w:rPr>
          <w:rFonts w:ascii="Times New Roman" w:hAnsi="Times New Roman"/>
          <w:sz w:val="20"/>
        </w:rPr>
        <w:t xml:space="preserve">Eckert, P. (2008). Variation and the indexical field. </w:t>
      </w:r>
      <w:r>
        <w:rPr>
          <w:rFonts w:ascii="Times New Roman" w:hAnsi="Times New Roman"/>
          <w:i/>
          <w:sz w:val="20"/>
        </w:rPr>
        <w:t>Journal of Sociolinguistics, 12</w:t>
      </w:r>
      <w:r>
        <w:rPr>
          <w:rFonts w:ascii="Times New Roman" w:hAnsi="Times New Roman"/>
          <w:sz w:val="20"/>
        </w:rPr>
        <w:t xml:space="preserve">(4), 453–476. </w:t>
      </w:r>
      <w:hyperlink r:id="rId18">
        <w:r>
          <w:rPr>
            <w:rFonts w:ascii="Times New Roman" w:hAnsi="Times New Roman"/>
            <w:sz w:val="20"/>
            <w:color w:val="0000FF"/>
            <w:u w:val="single"/>
          </w:rPr>
          <w:t xml:space="preserve">https://doi.org/10.1111/j.1467-9841.2008.00374.x</w:t>
        </w:r>
      </w:hyperlink>
    </w:p>
    <w:p>
      <w:pPr>
        <w:spacing w:before="0" w:after="80" w:line="240" w:lineRule="auto"/>
        <w:ind w:left="720" w:hanging="720"/>
      </w:pPr>
      <w:r>
        <w:rPr>
          <w:rFonts w:ascii="Times New Roman" w:hAnsi="Times New Roman"/>
          <w:sz w:val="20"/>
        </w:rPr>
        <w:t xml:space="preserve">Eckert, P. (2018). </w:t>
      </w:r>
      <w:r>
        <w:rPr>
          <w:rFonts w:ascii="Times New Roman" w:hAnsi="Times New Roman"/>
          <w:i/>
          <w:sz w:val="20"/>
        </w:rPr>
        <w:t>Meaning and linguistic variation: The third wave in sociolinguistics</w:t>
      </w:r>
      <w:r>
        <w:rPr>
          <w:rFonts w:ascii="Times New Roman" w:hAnsi="Times New Roman"/>
          <w:sz w:val="20"/>
        </w:rPr>
        <w:t>. Cambridge University Press.</w:t>
      </w:r>
    </w:p>
    <w:p>
      <w:pPr>
        <w:spacing w:before="0" w:after="80" w:line="240" w:lineRule="auto"/>
        <w:ind w:left="720" w:hanging="720"/>
      </w:pPr>
      <w:r>
        <w:rPr>
          <w:rFonts w:ascii="Times New Roman" w:hAnsi="Times New Roman"/>
          <w:sz w:val="20"/>
        </w:rPr>
        <w:t xml:space="preserve">Firth, J. R. (1957). A synopsis of linguistic theory, 1930–1955. In </w:t>
      </w:r>
      <w:r>
        <w:rPr>
          <w:rFonts w:ascii="Times New Roman" w:hAnsi="Times New Roman"/>
          <w:i/>
          <w:sz w:val="20"/>
        </w:rPr>
        <w:t>Studies in linguistic analysis</w:t>
      </w:r>
      <w:r>
        <w:rPr>
          <w:rFonts w:ascii="Times New Roman" w:hAnsi="Times New Roman"/>
          <w:sz w:val="20"/>
        </w:rPr>
        <w:t xml:space="preserve"> (pp. 1–32). Blackwell.</w:t>
      </w:r>
    </w:p>
    <w:p>
      <w:pPr>
        <w:spacing w:before="0" w:after="80" w:line="240" w:lineRule="auto"/>
        <w:ind w:left="720" w:hanging="720"/>
      </w:pPr>
      <w:r>
        <w:rPr>
          <w:rFonts w:ascii="Times New Roman" w:hAnsi="Times New Roman"/>
          <w:sz w:val="20"/>
        </w:rPr>
        <w:t xml:space="preserve">Frege, G. (1948). Sense and reference (M. Black, Trans.). </w:t>
      </w:r>
      <w:r>
        <w:rPr>
          <w:rFonts w:ascii="Times New Roman" w:hAnsi="Times New Roman"/>
          <w:i/>
          <w:sz w:val="20"/>
        </w:rPr>
        <w:t>The Philosophical Review, 57</w:t>
      </w:r>
      <w:r>
        <w:rPr>
          <w:rFonts w:ascii="Times New Roman" w:hAnsi="Times New Roman"/>
          <w:sz w:val="20"/>
        </w:rPr>
        <w:t xml:space="preserve">(3), 209–230. </w:t>
      </w:r>
      <w:hyperlink r:id="rId19">
        <w:r>
          <w:rPr>
            <w:rFonts w:ascii="Times New Roman" w:hAnsi="Times New Roman"/>
            <w:sz w:val="20"/>
            <w:color w:val="0000FF"/>
            <w:u w:val="single"/>
          </w:rPr>
          <w:t xml:space="preserve">https://doi.org/10.2307/2181485</w:t>
        </w:r>
      </w:hyperlink>
      <w:r>
        <w:rPr>
          <w:rFonts w:ascii="Times New Roman" w:hAnsi="Times New Roman"/>
          <w:sz w:val="20"/>
        </w:rPr>
        <w:t xml:space="preserve"> (Original work published 1892)</w:t>
      </w:r>
    </w:p>
    <w:p>
      <w:pPr>
        <w:spacing w:before="0" w:after="80" w:line="240" w:lineRule="auto"/>
        <w:ind w:left="720" w:hanging="720"/>
      </w:pPr>
      <w:r>
        <w:rPr>
          <w:rFonts w:ascii="Times New Roman" w:hAnsi="Times New Roman"/>
          <w:sz w:val="20"/>
        </w:rPr>
        <w:t xml:space="preserve">Fridland, V. (2026, April 15). Slanguage: How “6-7” makes sense even though it means nothing. </w:t>
      </w:r>
      <w:r>
        <w:rPr>
          <w:rFonts w:ascii="Times New Roman" w:hAnsi="Times New Roman"/>
          <w:i/>
          <w:sz w:val="20"/>
        </w:rPr>
        <w:t>The Conversation</w:t>
      </w:r>
      <w:r>
        <w:rPr>
          <w:rFonts w:ascii="Times New Roman" w:hAnsi="Times New Roman"/>
          <w:sz w:val="20"/>
        </w:rPr>
        <w:t xml:space="preserve">. </w:t>
      </w:r>
      <w:hyperlink r:id="rId20">
        <w:r>
          <w:rPr>
            <w:rFonts w:ascii="Times New Roman" w:hAnsi="Times New Roman"/>
            <w:sz w:val="20"/>
            <w:color w:val="0000FF"/>
            <w:u w:val="single"/>
          </w:rPr>
          <w:t xml:space="preserve">https://theconversation.com/slanguage-how-6-7-makes-sense-even-though-it-means-nothing-270006</w:t>
        </w:r>
      </w:hyperlink>
    </w:p>
    <w:p>
      <w:pPr>
        <w:spacing w:before="0" w:after="80" w:line="240" w:lineRule="auto"/>
        <w:ind w:left="720" w:hanging="720"/>
      </w:pPr>
      <w:r>
        <w:rPr>
          <w:rFonts w:ascii="Times New Roman" w:hAnsi="Times New Roman"/>
          <w:sz w:val="20"/>
        </w:rPr>
        <w:t xml:space="preserve">Georgetown University. (2025). </w:t>
      </w:r>
      <w:r>
        <w:rPr>
          <w:rFonts w:ascii="Times New Roman" w:hAnsi="Times New Roman"/>
          <w:i/>
          <w:sz w:val="20"/>
        </w:rPr>
        <w:t>Linguistics professor explains the “six-seven” meme</w:t>
      </w:r>
      <w:r>
        <w:rPr>
          <w:rFonts w:ascii="Times New Roman" w:hAnsi="Times New Roman"/>
          <w:sz w:val="20"/>
        </w:rPr>
        <w:t xml:space="preserve">. </w:t>
      </w:r>
      <w:hyperlink r:id="rId21">
        <w:r>
          <w:rPr>
            <w:rFonts w:ascii="Times New Roman" w:hAnsi="Times New Roman"/>
            <w:sz w:val="20"/>
            <w:color w:val="0000FF"/>
            <w:u w:val="single"/>
          </w:rPr>
          <w:t xml:space="preserve">https://www.georgetown.edu/news/six-seven-meme-linguistics/</w:t>
        </w:r>
      </w:hyperlink>
    </w:p>
    <w:p>
      <w:pPr>
        <w:spacing w:before="0" w:after="80" w:line="240" w:lineRule="auto"/>
        <w:ind w:left="720" w:hanging="720"/>
      </w:pPr>
      <w:r>
        <w:rPr>
          <w:rFonts w:ascii="Times New Roman" w:hAnsi="Times New Roman"/>
          <w:sz w:val="20"/>
        </w:rPr>
        <w:t xml:space="preserve">Goldberg, A. E. (1995). </w:t>
      </w:r>
      <w:r>
        <w:rPr>
          <w:rFonts w:ascii="Times New Roman" w:hAnsi="Times New Roman"/>
          <w:i/>
          <w:sz w:val="20"/>
        </w:rPr>
        <w:t>Constructions: A construction grammar approach to argument structure</w:t>
      </w:r>
      <w:r>
        <w:rPr>
          <w:rFonts w:ascii="Times New Roman" w:hAnsi="Times New Roman"/>
          <w:sz w:val="20"/>
        </w:rPr>
        <w:t>. University of Chicago Press.</w:t>
      </w:r>
    </w:p>
    <w:p>
      <w:pPr>
        <w:spacing w:before="0" w:after="80" w:line="240" w:lineRule="auto"/>
        <w:ind w:left="720" w:hanging="720"/>
      </w:pPr>
      <w:r>
        <w:rPr>
          <w:rFonts w:ascii="Times New Roman" w:hAnsi="Times New Roman"/>
          <w:sz w:val="20"/>
        </w:rPr>
        <w:t xml:space="preserve">Gutzmann, D. (2015). </w:t>
      </w:r>
      <w:r>
        <w:rPr>
          <w:rFonts w:ascii="Times New Roman" w:hAnsi="Times New Roman"/>
          <w:i/>
          <w:sz w:val="20"/>
        </w:rPr>
        <w:t>Use-conditional meaning: Studies in multidimensional semantics</w:t>
      </w:r>
      <w:r>
        <w:rPr>
          <w:rFonts w:ascii="Times New Roman" w:hAnsi="Times New Roman"/>
          <w:sz w:val="20"/>
        </w:rPr>
        <w:t>. Oxford University Press.</w:t>
      </w:r>
    </w:p>
    <w:p>
      <w:pPr>
        <w:spacing w:before="0" w:after="80" w:line="240" w:lineRule="auto"/>
        <w:ind w:left="720" w:hanging="720"/>
      </w:pPr>
      <w:r>
        <w:rPr>
          <w:rFonts w:ascii="Times New Roman" w:hAnsi="Times New Roman"/>
          <w:sz w:val="20"/>
        </w:rPr>
        <w:t xml:space="preserve">Halliday, M. A. K. (1976). Anti-languages. </w:t>
      </w:r>
      <w:r>
        <w:rPr>
          <w:rFonts w:ascii="Times New Roman" w:hAnsi="Times New Roman"/>
          <w:i/>
          <w:sz w:val="20"/>
        </w:rPr>
        <w:t>American Anthropologist, 78</w:t>
      </w:r>
      <w:r>
        <w:rPr>
          <w:rFonts w:ascii="Times New Roman" w:hAnsi="Times New Roman"/>
          <w:sz w:val="20"/>
        </w:rPr>
        <w:t xml:space="preserve">(3), 570–584. </w:t>
      </w:r>
      <w:hyperlink r:id="rId22">
        <w:r>
          <w:rPr>
            <w:rFonts w:ascii="Times New Roman" w:hAnsi="Times New Roman"/>
            <w:sz w:val="20"/>
            <w:color w:val="0000FF"/>
            <w:u w:val="single"/>
          </w:rPr>
          <w:t xml:space="preserve">https://doi.org/10.1525/aa.1976.78.3.02a00050</w:t>
        </w:r>
      </w:hyperlink>
    </w:p>
    <w:p>
      <w:pPr>
        <w:spacing w:before="0" w:after="80" w:line="240" w:lineRule="auto"/>
        <w:ind w:left="720" w:hanging="720"/>
      </w:pPr>
      <w:r>
        <w:rPr>
          <w:rFonts w:ascii="Times New Roman" w:hAnsi="Times New Roman"/>
          <w:sz w:val="20"/>
        </w:rPr>
        <w:t xml:space="preserve">IBTimes UK. (2025, November 25). </w:t>
      </w:r>
      <w:r>
        <w:rPr>
          <w:rFonts w:ascii="Times New Roman" w:hAnsi="Times New Roman"/>
          <w:i/>
          <w:sz w:val="20"/>
        </w:rPr>
        <w:t>Keir Starmer apologises after being told off by teacher for doing “6-7” meme during school visit</w:t>
      </w:r>
      <w:r>
        <w:rPr>
          <w:rFonts w:ascii="Times New Roman" w:hAnsi="Times New Roman"/>
          <w:sz w:val="20"/>
        </w:rPr>
        <w:t xml:space="preserve">. </w:t>
      </w:r>
      <w:hyperlink r:id="rId23">
        <w:r>
          <w:rPr>
            <w:rFonts w:ascii="Times New Roman" w:hAnsi="Times New Roman"/>
            <w:sz w:val="20"/>
            <w:color w:val="0000FF"/>
            <w:u w:val="single"/>
          </w:rPr>
          <w:t xml:space="preserve">https://www.ibtimes.co.uk/keir-starmer-apologises-after-being-told-off-teacher-doing-6-7-meme-during-school-visit-1757929</w:t>
        </w:r>
      </w:hyperlink>
    </w:p>
    <w:p>
      <w:pPr>
        <w:spacing w:before="0" w:after="80" w:line="240" w:lineRule="auto"/>
        <w:ind w:left="720" w:hanging="720"/>
      </w:pPr>
      <w:r>
        <w:rPr>
          <w:rFonts w:ascii="Times New Roman" w:hAnsi="Times New Roman"/>
          <w:sz w:val="20"/>
        </w:rPr>
        <w:t xml:space="preserve">Jakobson, R. (1960). Linguistics and poetics. In T. A. Sebeok (Ed.), </w:t>
      </w:r>
      <w:r>
        <w:rPr>
          <w:rFonts w:ascii="Times New Roman" w:hAnsi="Times New Roman"/>
          <w:i/>
          <w:sz w:val="20"/>
        </w:rPr>
        <w:t>Style in language</w:t>
      </w:r>
      <w:r>
        <w:rPr>
          <w:rFonts w:ascii="Times New Roman" w:hAnsi="Times New Roman"/>
          <w:sz w:val="20"/>
        </w:rPr>
        <w:t xml:space="preserve"> (pp. 350–377). MIT Press.</w:t>
      </w:r>
    </w:p>
    <w:p>
      <w:pPr>
        <w:spacing w:before="0" w:after="80" w:line="240" w:lineRule="auto"/>
        <w:ind w:left="720" w:hanging="720"/>
      </w:pPr>
      <w:r>
        <w:rPr>
          <w:rFonts w:ascii="Times New Roman" w:hAnsi="Times New Roman"/>
          <w:sz w:val="20"/>
        </w:rPr>
        <w:t xml:space="preserve">Jurafsky, D., &amp; Martin, J. H. (2023). Lexical semantics. In </w:t>
      </w:r>
      <w:r>
        <w:rPr>
          <w:rFonts w:ascii="Times New Roman" w:hAnsi="Times New Roman"/>
          <w:i/>
          <w:sz w:val="20"/>
        </w:rPr>
        <w:t>Speech and language processing</w:t>
      </w:r>
      <w:r>
        <w:rPr>
          <w:rFonts w:ascii="Times New Roman" w:hAnsi="Times New Roman"/>
          <w:sz w:val="20"/>
        </w:rPr>
        <w:t xml:space="preserve"> (3rd ed. draft, Chapter 19). </w:t>
      </w:r>
      <w:hyperlink r:id="rId24">
        <w:r>
          <w:rPr>
            <w:rFonts w:ascii="Times New Roman" w:hAnsi="Times New Roman"/>
            <w:sz w:val="20"/>
            <w:color w:val="0000FF"/>
            <w:u w:val="single"/>
          </w:rPr>
          <w:t xml:space="preserve">https://web.stanford.edu/class/linguist1/Rdgs/JM19.pdf</w:t>
        </w:r>
      </w:hyperlink>
    </w:p>
    <w:p>
      <w:pPr>
        <w:spacing w:before="0" w:after="80" w:line="240" w:lineRule="auto"/>
        <w:ind w:left="720" w:hanging="720"/>
      </w:pPr>
      <w:r>
        <w:rPr>
          <w:rFonts w:ascii="Times New Roman" w:hAnsi="Times New Roman"/>
          <w:sz w:val="20"/>
        </w:rPr>
        <w:t xml:space="preserve">Kaplan, D. (1999). </w:t>
      </w:r>
      <w:r>
        <w:rPr>
          <w:rFonts w:ascii="Times New Roman" w:hAnsi="Times New Roman"/>
          <w:i/>
          <w:sz w:val="20"/>
        </w:rPr>
        <w:t>The meaning of “ouch” and “oops”: Explorations in the theory of meaning as use</w:t>
      </w:r>
      <w:r>
        <w:rPr>
          <w:rFonts w:ascii="Times New Roman" w:hAnsi="Times New Roman"/>
          <w:sz w:val="20"/>
        </w:rPr>
        <w:t xml:space="preserve"> [Unpublished manuscript]. University of California, Los Angeles.</w:t>
      </w:r>
    </w:p>
    <w:p>
      <w:pPr>
        <w:spacing w:before="0" w:after="80" w:line="240" w:lineRule="auto"/>
        <w:ind w:left="720" w:hanging="720"/>
      </w:pPr>
      <w:r>
        <w:rPr>
          <w:rFonts w:ascii="Times New Roman" w:hAnsi="Times New Roman"/>
          <w:sz w:val="20"/>
        </w:rPr>
        <w:t xml:space="preserve">Know Your Meme. (n.d.). </w:t>
      </w:r>
      <w:r>
        <w:rPr>
          <w:rFonts w:ascii="Times New Roman" w:hAnsi="Times New Roman"/>
          <w:i/>
          <w:sz w:val="20"/>
        </w:rPr>
        <w:t>67 kid</w:t>
      </w:r>
      <w:r>
        <w:rPr>
          <w:rFonts w:ascii="Times New Roman" w:hAnsi="Times New Roman"/>
          <w:sz w:val="20"/>
        </w:rPr>
        <w:t xml:space="preserve">. Literally Media. Retrieved June 4, 2026, from </w:t>
      </w:r>
      <w:hyperlink r:id="rId25">
        <w:r>
          <w:rPr>
            <w:rFonts w:ascii="Times New Roman" w:hAnsi="Times New Roman"/>
            <w:sz w:val="20"/>
            <w:color w:val="0000FF"/>
            <w:u w:val="single"/>
          </w:rPr>
          <w:t xml:space="preserve">https://knowyourmeme.com/memes/67-kid</w:t>
        </w:r>
      </w:hyperlink>
    </w:p>
    <w:p>
      <w:pPr>
        <w:spacing w:before="0" w:after="80" w:line="240" w:lineRule="auto"/>
        <w:ind w:left="720" w:hanging="720"/>
      </w:pPr>
      <w:r>
        <w:rPr>
          <w:rFonts w:ascii="Times New Roman" w:hAnsi="Times New Roman"/>
          <w:sz w:val="20"/>
        </w:rPr>
        <w:t xml:space="preserve">Malinowski, B. (1923). The problem of meaning in primitive languages. In C. K. Ogden &amp; I. A. Richards, </w:t>
      </w:r>
      <w:r>
        <w:rPr>
          <w:rFonts w:ascii="Times New Roman" w:hAnsi="Times New Roman"/>
          <w:i/>
          <w:sz w:val="20"/>
        </w:rPr>
        <w:t>The meaning of meaning</w:t>
      </w:r>
      <w:r>
        <w:rPr>
          <w:rFonts w:ascii="Times New Roman" w:hAnsi="Times New Roman"/>
          <w:sz w:val="20"/>
        </w:rPr>
        <w:t xml:space="preserve"> (pp. 296–336). Kegan Paul.</w:t>
      </w:r>
    </w:p>
    <w:p>
      <w:pPr>
        <w:spacing w:before="0" w:after="80" w:line="240" w:lineRule="auto"/>
        <w:ind w:left="720" w:hanging="720"/>
      </w:pPr>
      <w:r>
        <w:rPr>
          <w:rFonts w:ascii="Times New Roman" w:hAnsi="Times New Roman"/>
          <w:sz w:val="20"/>
        </w:rPr>
        <w:t xml:space="preserve">McCulloch, G. (2019). </w:t>
      </w:r>
      <w:r>
        <w:rPr>
          <w:rFonts w:ascii="Times New Roman" w:hAnsi="Times New Roman"/>
          <w:i/>
          <w:sz w:val="20"/>
        </w:rPr>
        <w:t>Because internet: Understanding the new rules of language</w:t>
      </w:r>
      <w:r>
        <w:rPr>
          <w:rFonts w:ascii="Times New Roman" w:hAnsi="Times New Roman"/>
          <w:sz w:val="20"/>
        </w:rPr>
        <w:t>. Riverhead Books.</w:t>
      </w:r>
    </w:p>
    <w:p>
      <w:pPr>
        <w:spacing w:before="0" w:after="80" w:line="240" w:lineRule="auto"/>
        <w:ind w:left="720" w:hanging="720"/>
      </w:pPr>
      <w:r>
        <w:rPr>
          <w:rFonts w:ascii="Times New Roman" w:hAnsi="Times New Roman"/>
          <w:sz w:val="20"/>
        </w:rPr>
        <w:t xml:space="preserve">Merriam-Webster. (n.d.). Six seven. In </w:t>
      </w:r>
      <w:r>
        <w:rPr>
          <w:rFonts w:ascii="Times New Roman" w:hAnsi="Times New Roman"/>
          <w:i/>
          <w:sz w:val="20"/>
        </w:rPr>
        <w:t>Merriam-Webster slang dictionary</w:t>
      </w:r>
      <w:r>
        <w:rPr>
          <w:rFonts w:ascii="Times New Roman" w:hAnsi="Times New Roman"/>
          <w:sz w:val="20"/>
        </w:rPr>
        <w:t xml:space="preserve">. Retrieved June 4, 2026, from </w:t>
      </w:r>
      <w:hyperlink r:id="rId26">
        <w:r>
          <w:rPr>
            <w:rFonts w:ascii="Times New Roman" w:hAnsi="Times New Roman"/>
            <w:sz w:val="20"/>
            <w:color w:val="0000FF"/>
            <w:u w:val="single"/>
          </w:rPr>
          <w:t xml:space="preserve">https://www.merriam-webster.com/slang/six-seven</w:t>
        </w:r>
      </w:hyperlink>
    </w:p>
    <w:p>
      <w:pPr>
        <w:spacing w:before="0" w:after="80" w:line="240" w:lineRule="auto"/>
        <w:ind w:left="720" w:hanging="720"/>
      </w:pPr>
      <w:r>
        <w:rPr>
          <w:rFonts w:ascii="Times New Roman" w:hAnsi="Times New Roman"/>
          <w:sz w:val="20"/>
        </w:rPr>
        <w:t xml:space="preserve">Miller, V. (2008). New media, networking and phatic culture. </w:t>
      </w:r>
      <w:r>
        <w:rPr>
          <w:rFonts w:ascii="Times New Roman" w:hAnsi="Times New Roman"/>
          <w:i/>
          <w:sz w:val="20"/>
        </w:rPr>
        <w:t>Convergence, 14</w:t>
      </w:r>
      <w:r>
        <w:rPr>
          <w:rFonts w:ascii="Times New Roman" w:hAnsi="Times New Roman"/>
          <w:sz w:val="20"/>
        </w:rPr>
        <w:t xml:space="preserve">(4), 387–400. </w:t>
      </w:r>
      <w:hyperlink r:id="rId27">
        <w:r>
          <w:rPr>
            <w:rFonts w:ascii="Times New Roman" w:hAnsi="Times New Roman"/>
            <w:sz w:val="20"/>
            <w:color w:val="0000FF"/>
            <w:u w:val="single"/>
          </w:rPr>
          <w:t xml:space="preserve">https://doi.org/10.1177/1354856508094659</w:t>
        </w:r>
      </w:hyperlink>
    </w:p>
    <w:p>
      <w:pPr>
        <w:spacing w:before="0" w:after="80" w:line="240" w:lineRule="auto"/>
        <w:ind w:left="720" w:hanging="720"/>
      </w:pPr>
      <w:r>
        <w:rPr>
          <w:rFonts w:ascii="Times New Roman" w:hAnsi="Times New Roman"/>
          <w:sz w:val="20"/>
        </w:rPr>
        <w:t xml:space="preserve">NPR. (2025, October 31). </w:t>
      </w:r>
      <w:r>
        <w:rPr>
          <w:rFonts w:ascii="Times New Roman" w:hAnsi="Times New Roman"/>
          <w:i/>
          <w:sz w:val="20"/>
        </w:rPr>
        <w:t>What does “67” mean? Dictionary.com’s 2025 word of the year has no definition</w:t>
      </w:r>
      <w:r>
        <w:rPr>
          <w:rFonts w:ascii="Times New Roman" w:hAnsi="Times New Roman"/>
          <w:sz w:val="20"/>
        </w:rPr>
        <w:t xml:space="preserve">. </w:t>
      </w:r>
      <w:hyperlink r:id="rId28">
        <w:r>
          <w:rPr>
            <w:rFonts w:ascii="Times New Roman" w:hAnsi="Times New Roman"/>
            <w:sz w:val="20"/>
            <w:color w:val="0000FF"/>
            <w:u w:val="single"/>
          </w:rPr>
          <w:t xml:space="preserve">https://www.npr.org/2025/10/31/nx-s1-5593052/67-dictionary-word-of-the-year-2025</w:t>
        </w:r>
      </w:hyperlink>
    </w:p>
    <w:p>
      <w:pPr>
        <w:spacing w:before="0" w:after="80" w:line="240" w:lineRule="auto"/>
        <w:ind w:left="720" w:hanging="720"/>
      </w:pPr>
      <w:r>
        <w:rPr>
          <w:rFonts w:ascii="Times New Roman" w:hAnsi="Times New Roman"/>
          <w:sz w:val="20"/>
        </w:rPr>
        <w:t xml:space="preserve">Oxford University Press. (2024). </w:t>
      </w:r>
      <w:r>
        <w:rPr>
          <w:rFonts w:ascii="Times New Roman" w:hAnsi="Times New Roman"/>
          <w:i/>
          <w:sz w:val="20"/>
        </w:rPr>
        <w:t>“Brain rot” named Oxford word of the year 2024</w:t>
      </w:r>
      <w:r>
        <w:rPr>
          <w:rFonts w:ascii="Times New Roman" w:hAnsi="Times New Roman"/>
          <w:sz w:val="20"/>
        </w:rPr>
        <w:t xml:space="preserve">. </w:t>
      </w:r>
      <w:hyperlink r:id="rId29">
        <w:r>
          <w:rPr>
            <w:rFonts w:ascii="Times New Roman" w:hAnsi="Times New Roman"/>
            <w:sz w:val="20"/>
            <w:color w:val="0000FF"/>
            <w:u w:val="single"/>
          </w:rPr>
          <w:t xml:space="preserve">https://corp.oup.com/news/brain-rot-named-oxford-word-of-the-year-2024/</w:t>
        </w:r>
      </w:hyperlink>
    </w:p>
    <w:p>
      <w:pPr>
        <w:spacing w:before="0" w:after="80" w:line="240" w:lineRule="auto"/>
        <w:ind w:left="720" w:hanging="720"/>
      </w:pPr>
      <w:r>
        <w:rPr>
          <w:rFonts w:ascii="Times New Roman" w:hAnsi="Times New Roman"/>
          <w:sz w:val="20"/>
        </w:rPr>
        <w:t xml:space="preserve">Potts, C. (2005). </w:t>
      </w:r>
      <w:r>
        <w:rPr>
          <w:rFonts w:ascii="Times New Roman" w:hAnsi="Times New Roman"/>
          <w:i/>
          <w:sz w:val="20"/>
        </w:rPr>
        <w:t>The logic of conventional implicatures</w:t>
      </w:r>
      <w:r>
        <w:rPr>
          <w:rFonts w:ascii="Times New Roman" w:hAnsi="Times New Roman"/>
          <w:sz w:val="20"/>
        </w:rPr>
        <w:t>. Oxford University Press.</w:t>
      </w:r>
    </w:p>
    <w:p>
      <w:pPr>
        <w:spacing w:before="0" w:after="80" w:line="240" w:lineRule="auto"/>
        <w:ind w:left="720" w:hanging="720"/>
      </w:pPr>
      <w:r>
        <w:rPr>
          <w:rFonts w:ascii="Times New Roman" w:hAnsi="Times New Roman"/>
          <w:sz w:val="20"/>
        </w:rPr>
        <w:t xml:space="preserve">Potts, C. (2007). The expressive dimension. </w:t>
      </w:r>
      <w:r>
        <w:rPr>
          <w:rFonts w:ascii="Times New Roman" w:hAnsi="Times New Roman"/>
          <w:i/>
          <w:sz w:val="20"/>
        </w:rPr>
        <w:t>Theoretical Linguistics, 33</w:t>
      </w:r>
      <w:r>
        <w:rPr>
          <w:rFonts w:ascii="Times New Roman" w:hAnsi="Times New Roman"/>
          <w:sz w:val="20"/>
        </w:rPr>
        <w:t xml:space="preserve">(2), 165–198. </w:t>
      </w:r>
      <w:hyperlink r:id="rId30">
        <w:r>
          <w:rPr>
            <w:rFonts w:ascii="Times New Roman" w:hAnsi="Times New Roman"/>
            <w:sz w:val="20"/>
            <w:color w:val="0000FF"/>
            <w:u w:val="single"/>
          </w:rPr>
          <w:t xml:space="preserve">https://doi.org/10.1515/TL.2007.011</w:t>
        </w:r>
      </w:hyperlink>
    </w:p>
    <w:p>
      <w:pPr>
        <w:spacing w:before="0" w:after="80" w:line="240" w:lineRule="auto"/>
        <w:ind w:left="720" w:hanging="720"/>
      </w:pPr>
      <w:r>
        <w:rPr>
          <w:rFonts w:ascii="Times New Roman" w:hAnsi="Times New Roman"/>
          <w:sz w:val="20"/>
        </w:rPr>
        <w:t xml:space="preserve">Silverstein, M. (2003). Indexical order and the dialectics of sociolinguistic life. </w:t>
      </w:r>
      <w:r>
        <w:rPr>
          <w:rFonts w:ascii="Times New Roman" w:hAnsi="Times New Roman"/>
          <w:i/>
          <w:sz w:val="20"/>
        </w:rPr>
        <w:t>Language &amp; Communication, 23</w:t>
      </w:r>
      <w:r>
        <w:rPr>
          <w:rFonts w:ascii="Times New Roman" w:hAnsi="Times New Roman"/>
          <w:sz w:val="20"/>
        </w:rPr>
        <w:t xml:space="preserve">(3–4), 193–229. </w:t>
      </w:r>
      <w:hyperlink r:id="rId31">
        <w:r>
          <w:rPr>
            <w:rFonts w:ascii="Times New Roman" w:hAnsi="Times New Roman"/>
            <w:sz w:val="20"/>
            <w:color w:val="0000FF"/>
            <w:u w:val="single"/>
          </w:rPr>
          <w:t xml:space="preserve">https://doi.org/10.1016/S0271-5309(03</w:t>
        </w:r>
      </w:hyperlink>
      <w:r>
        <w:rPr>
          <w:rFonts w:ascii="Times New Roman" w:hAnsi="Times New Roman"/>
          <w:sz w:val="20"/>
        </w:rPr>
        <w:t>)00013-2</w:t>
      </w:r>
    </w:p>
    <w:p>
      <w:pPr>
        <w:spacing w:before="0" w:after="80" w:line="240" w:lineRule="auto"/>
        <w:ind w:left="720" w:hanging="720"/>
      </w:pPr>
      <w:r>
        <w:rPr>
          <w:rFonts w:ascii="Times New Roman" w:hAnsi="Times New Roman"/>
          <w:sz w:val="20"/>
        </w:rPr>
        <w:t xml:space="preserve">Skrilla. (2025). </w:t>
      </w:r>
      <w:r>
        <w:rPr>
          <w:rFonts w:ascii="Times New Roman" w:hAnsi="Times New Roman"/>
          <w:i/>
          <w:sz w:val="20"/>
        </w:rPr>
        <w:t>Doot doot (6 7)</w:t>
      </w:r>
      <w:r>
        <w:rPr>
          <w:rFonts w:ascii="Times New Roman" w:hAnsi="Times New Roman"/>
          <w:sz w:val="20"/>
        </w:rPr>
        <w:t xml:space="preserve"> [Song]. Priority Records.</w:t>
      </w:r>
    </w:p>
    <w:p>
      <w:pPr>
        <w:spacing w:before="0" w:after="80" w:line="240" w:lineRule="auto"/>
        <w:ind w:left="720" w:hanging="720"/>
      </w:pPr>
      <w:r>
        <w:rPr>
          <w:rFonts w:ascii="Times New Roman" w:hAnsi="Times New Roman"/>
          <w:sz w:val="20"/>
        </w:rPr>
        <w:t xml:space="preserve">Smithsonian Magazine. (2025, October 30). </w:t>
      </w:r>
      <w:r>
        <w:rPr>
          <w:rFonts w:ascii="Times New Roman" w:hAnsi="Times New Roman"/>
          <w:i/>
          <w:sz w:val="20"/>
        </w:rPr>
        <w:t>The term “67” is impossible to define. It just became Dictionary.com’s word of the year for 2025</w:t>
      </w:r>
      <w:r>
        <w:rPr>
          <w:rFonts w:ascii="Times New Roman" w:hAnsi="Times New Roman"/>
          <w:sz w:val="20"/>
        </w:rPr>
        <w:t xml:space="preserve">. </w:t>
      </w:r>
      <w:hyperlink r:id="rId32">
        <w:r>
          <w:rPr>
            <w:rFonts w:ascii="Times New Roman" w:hAnsi="Times New Roman"/>
            <w:sz w:val="20"/>
            <w:color w:val="0000FF"/>
            <w:u w:val="single"/>
          </w:rPr>
          <w:t xml:space="preserve">https://www.smithsonianmag.com/smart-news/the-term-67-is-impossible-to-define-it-just-became-dictionary-coms-word-of-the-year-for-2025-180987650/</w:t>
        </w:r>
      </w:hyperlink>
    </w:p>
    <w:p>
      <w:pPr>
        <w:spacing w:before="0" w:after="80" w:line="240" w:lineRule="auto"/>
        <w:ind w:left="720" w:hanging="720"/>
      </w:pPr>
      <w:r>
        <w:rPr>
          <w:rFonts w:ascii="Times New Roman" w:hAnsi="Times New Roman"/>
          <w:sz w:val="20"/>
        </w:rPr>
        <w:t xml:space="preserve">Stanford Encyclopedia of Philosophy. (n.d.). </w:t>
      </w:r>
      <w:r>
        <w:rPr>
          <w:rFonts w:ascii="Times New Roman" w:hAnsi="Times New Roman"/>
          <w:i/>
          <w:sz w:val="20"/>
        </w:rPr>
        <w:t>Word meaning</w:t>
      </w:r>
      <w:r>
        <w:rPr>
          <w:rFonts w:ascii="Times New Roman" w:hAnsi="Times New Roman"/>
          <w:sz w:val="20"/>
        </w:rPr>
        <w:t xml:space="preserve">. </w:t>
      </w:r>
      <w:hyperlink r:id="rId33">
        <w:r>
          <w:rPr>
            <w:rFonts w:ascii="Times New Roman" w:hAnsi="Times New Roman"/>
            <w:sz w:val="20"/>
            <w:color w:val="0000FF"/>
            <w:u w:val="single"/>
          </w:rPr>
          <w:t xml:space="preserve">https://plato.stanford.edu/entries/word-meaning/</w:t>
        </w:r>
      </w:hyperlink>
    </w:p>
    <w:p>
      <w:pPr>
        <w:spacing w:before="0" w:after="80" w:line="240" w:lineRule="auto"/>
        <w:ind w:left="720" w:hanging="720"/>
      </w:pPr>
      <w:r>
        <w:rPr>
          <w:rFonts w:ascii="Times New Roman" w:hAnsi="Times New Roman"/>
          <w:sz w:val="20"/>
        </w:rPr>
        <w:t xml:space="preserve">Today. (2024, June 27). </w:t>
      </w:r>
      <w:r>
        <w:rPr>
          <w:rFonts w:ascii="Times New Roman" w:hAnsi="Times New Roman"/>
          <w:i/>
          <w:sz w:val="20"/>
        </w:rPr>
        <w:t>What does “skibidi” mean?</w:t>
      </w:r>
      <w:r>
        <w:rPr>
          <w:rFonts w:ascii="Times New Roman" w:hAnsi="Times New Roman"/>
          <w:sz w:val="20"/>
        </w:rPr>
        <w:t xml:space="preserve"> </w:t>
      </w:r>
      <w:hyperlink r:id="rId34">
        <w:r>
          <w:rPr>
            <w:rFonts w:ascii="Times New Roman" w:hAnsi="Times New Roman"/>
            <w:sz w:val="20"/>
            <w:color w:val="0000FF"/>
            <w:u w:val="single"/>
          </w:rPr>
          <w:t xml:space="preserve">https://www.today.com/parents/teens/skibidi-slang-meaning-rcna153557</w:t>
        </w:r>
      </w:hyperlink>
    </w:p>
    <w:p>
      <w:pPr>
        <w:spacing w:before="0" w:after="80" w:line="240" w:lineRule="auto"/>
        <w:ind w:left="720" w:hanging="720"/>
      </w:pPr>
      <w:r>
        <w:rPr>
          <w:rFonts w:ascii="Times New Roman" w:hAnsi="Times New Roman"/>
          <w:sz w:val="20"/>
        </w:rPr>
        <w:t xml:space="preserve">University of Colorado Boulder. (2021, May 3). </w:t>
      </w:r>
      <w:r>
        <w:rPr>
          <w:rFonts w:ascii="Times New Roman" w:hAnsi="Times New Roman"/>
          <w:i/>
          <w:sz w:val="20"/>
        </w:rPr>
        <w:t>To “yeet” or not to “yeet”: African American slang beyond Vine</w:t>
      </w:r>
      <w:r>
        <w:rPr>
          <w:rFonts w:ascii="Times New Roman" w:hAnsi="Times New Roman"/>
          <w:sz w:val="20"/>
        </w:rPr>
        <w:t xml:space="preserve">. </w:t>
      </w:r>
      <w:hyperlink r:id="rId35">
        <w:r>
          <w:rPr>
            <w:rFonts w:ascii="Times New Roman" w:hAnsi="Times New Roman"/>
            <w:sz w:val="20"/>
            <w:color w:val="0000FF"/>
            <w:u w:val="single"/>
          </w:rPr>
          <w:t xml:space="preserve">https://www.colorado.edu/linguistics/2021/05/03/yeet-or-not-yeet-african-american-slang-beyond-vine</w:t>
        </w:r>
      </w:hyperlink>
    </w:p>
    <w:p>
      <w:pPr>
        <w:spacing w:before="0" w:after="80" w:line="240" w:lineRule="auto"/>
        <w:ind w:left="720" w:hanging="720"/>
      </w:pPr>
      <w:r>
        <w:rPr>
          <w:rFonts w:ascii="Times New Roman" w:hAnsi="Times New Roman"/>
          <w:sz w:val="20"/>
        </w:rPr>
        <w:t xml:space="preserve">WHYY. (2025). </w:t>
      </w:r>
      <w:r>
        <w:rPr>
          <w:rFonts w:ascii="Times New Roman" w:hAnsi="Times New Roman"/>
          <w:i/>
          <w:sz w:val="20"/>
        </w:rPr>
        <w:t>The meaning of “6-7” and its Philadelphia roots</w:t>
      </w:r>
      <w:r>
        <w:rPr>
          <w:rFonts w:ascii="Times New Roman" w:hAnsi="Times New Roman"/>
          <w:sz w:val="20"/>
        </w:rPr>
        <w:t xml:space="preserve">. </w:t>
      </w:r>
      <w:hyperlink r:id="rId36">
        <w:r>
          <w:rPr>
            <w:rFonts w:ascii="Times New Roman" w:hAnsi="Times New Roman"/>
            <w:sz w:val="20"/>
            <w:color w:val="0000FF"/>
            <w:u w:val="single"/>
          </w:rPr>
          <w:t xml:space="preserve">https://whyy.org/articles/meaning-6-7-skrilla-philadelphia/</w:t>
        </w:r>
      </w:hyperlink>
    </w:p>
    <w:p>
      <w:pPr>
        <w:spacing w:before="0" w:after="80" w:line="240" w:lineRule="auto"/>
        <w:ind w:left="720" w:hanging="720"/>
      </w:pPr>
      <w:r>
        <w:rPr>
          <w:rFonts w:ascii="Times New Roman" w:hAnsi="Times New Roman"/>
          <w:sz w:val="20"/>
        </w:rPr>
        <w:t xml:space="preserve">Wittgenstein, L. (1953). </w:t>
      </w:r>
      <w:r>
        <w:rPr>
          <w:rFonts w:ascii="Times New Roman" w:hAnsi="Times New Roman"/>
          <w:i/>
          <w:sz w:val="20"/>
        </w:rPr>
        <w:t>Philosophical investigations</w:t>
      </w:r>
      <w:r>
        <w:rPr>
          <w:rFonts w:ascii="Times New Roman" w:hAnsi="Times New Roman"/>
          <w:sz w:val="20"/>
        </w:rPr>
        <w:t xml:space="preserve"> (G. E. M. Anscombe, Trans.). Blackwell.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bleacherreport.com/articles/25240758-how-nba-star-lamelo-ball-accidentally-sparked-tiktok-6-7-meme" TargetMode="External"/><Relationship Id="rId14" Type="http://schemas.openxmlformats.org/officeDocument/2006/relationships/hyperlink" Target="https://www.cnn.com/2025/10/18/us/6-7-meme-slang-explained-cec" TargetMode="External"/><Relationship Id="rId15" Type="http://schemas.openxmlformats.org/officeDocument/2006/relationships/hyperlink" Target="https://www.complex.com/music/a/khal/skrilla-6-7-meme-explained" TargetMode="External"/><Relationship Id="rId16" Type="http://schemas.openxmlformats.org/officeDocument/2006/relationships/hyperlink" Target="https://doi.org/10.1007/BF00485035" TargetMode="External"/><Relationship Id="rId17" Type="http://schemas.openxmlformats.org/officeDocument/2006/relationships/hyperlink" Target="https://www.dictionary.com/articles/word-of-the-year-2025" TargetMode="External"/><Relationship Id="rId18" Type="http://schemas.openxmlformats.org/officeDocument/2006/relationships/hyperlink" Target="https://doi.org/10.1111/j.1467-9841.2008.00374.x" TargetMode="External"/><Relationship Id="rId19" Type="http://schemas.openxmlformats.org/officeDocument/2006/relationships/hyperlink" Target="https://doi.org/10.2307/2181485" TargetMode="External"/><Relationship Id="rId20" Type="http://schemas.openxmlformats.org/officeDocument/2006/relationships/hyperlink" Target="https://theconversation.com/slanguage-how-6-7-makes-sense-even-though-it-means-nothing-270006" TargetMode="External"/><Relationship Id="rId21" Type="http://schemas.openxmlformats.org/officeDocument/2006/relationships/hyperlink" Target="https://www.georgetown.edu/news/six-seven-meme-linguistics/" TargetMode="External"/><Relationship Id="rId22" Type="http://schemas.openxmlformats.org/officeDocument/2006/relationships/hyperlink" Target="https://doi.org/10.1525/aa.1976.78.3.02a00050" TargetMode="External"/><Relationship Id="rId23" Type="http://schemas.openxmlformats.org/officeDocument/2006/relationships/hyperlink" Target="https://www.ibtimes.co.uk/keir-starmer-apologises-after-being-told-off-teacher-doing-6-7-meme-during-school-visit-1757929" TargetMode="External"/><Relationship Id="rId24" Type="http://schemas.openxmlformats.org/officeDocument/2006/relationships/hyperlink" Target="https://web.stanford.edu/class/linguist1/Rdgs/JM19.pdf" TargetMode="External"/><Relationship Id="rId25" Type="http://schemas.openxmlformats.org/officeDocument/2006/relationships/hyperlink" Target="https://knowyourmeme.com/memes/67-kid" TargetMode="External"/><Relationship Id="rId26" Type="http://schemas.openxmlformats.org/officeDocument/2006/relationships/hyperlink" Target="https://www.merriam-webster.com/slang/six-seven" TargetMode="External"/><Relationship Id="rId27" Type="http://schemas.openxmlformats.org/officeDocument/2006/relationships/hyperlink" Target="https://doi.org/10.1177/1354856508094659" TargetMode="External"/><Relationship Id="rId28" Type="http://schemas.openxmlformats.org/officeDocument/2006/relationships/hyperlink" Target="https://www.npr.org/2025/10/31/nx-s1-5593052/67-dictionary-word-of-the-year-2025" TargetMode="External"/><Relationship Id="rId29" Type="http://schemas.openxmlformats.org/officeDocument/2006/relationships/hyperlink" Target="https://corp.oup.com/news/brain-rot-named-oxford-word-of-the-year-2024/" TargetMode="External"/><Relationship Id="rId30" Type="http://schemas.openxmlformats.org/officeDocument/2006/relationships/hyperlink" Target="https://doi.org/10.1515/TL.2007.011" TargetMode="External"/><Relationship Id="rId31" Type="http://schemas.openxmlformats.org/officeDocument/2006/relationships/hyperlink" Target="https://doi.org/10.1016/S0271-5309(03" TargetMode="External"/><Relationship Id="rId32" Type="http://schemas.openxmlformats.org/officeDocument/2006/relationships/hyperlink" Target="https://www.smithsonianmag.com/smart-news/the-term-67-is-impossible-to-define-it-just-became-dictionary-coms-word-of-the-year-for-2025-180987650/" TargetMode="External"/><Relationship Id="rId33" Type="http://schemas.openxmlformats.org/officeDocument/2006/relationships/hyperlink" Target="https://plato.stanford.edu/entries/word-meaning/" TargetMode="External"/><Relationship Id="rId34" Type="http://schemas.openxmlformats.org/officeDocument/2006/relationships/hyperlink" Target="https://www.today.com/parents/teens/skibidi-slang-meaning-rcna153557" TargetMode="External"/><Relationship Id="rId35" Type="http://schemas.openxmlformats.org/officeDocument/2006/relationships/hyperlink" Target="https://www.colorado.edu/linguistics/2021/05/03/yeet-or-not-yeet-african-american-slang-beyond-vine" TargetMode="External"/><Relationship Id="rId36" Type="http://schemas.openxmlformats.org/officeDocument/2006/relationships/hyperlink" Target="https://whyy.org/articles/meaning-6-7-skrilla-philadelph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