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480" w:lineRule="auto"/>
        <w:jc w:val="center"/>
      </w:pPr>
      <w:r>
        <w:rPr>
          <w:rFonts w:ascii="Times New Roman" w:hAnsi="Times New Roman"/>
          <w:b/>
          <w:i w:val="0"/>
          <w:sz w:val="28"/>
        </w:rPr>
        <w:t>Clocking the Tea: A Narrative Review of the Verb to clock as a Site of Semantic Specialization, Enregisterment, and Racialized Appropriation</w:t>
      </w:r>
    </w:p>
    <w:p>
      <w:pPr>
        <w:spacing w:after="0" w:before="0" w:line="480" w:lineRule="auto"/>
        <w:jc w:val="center"/>
      </w:pPr>
      <w:r>
        <w:rPr>
          <w:rFonts w:ascii="Times New Roman" w:hAnsi="Times New Roman"/>
          <w:b w:val="0"/>
          <w:i w:val="0"/>
          <w:sz w:val="24"/>
        </w:rPr>
        <w:t>[Author Name]</w:t>
      </w:r>
    </w:p>
    <w:p>
      <w:pPr>
        <w:spacing w:after="240" w:before="0" w:line="480" w:lineRule="auto"/>
        <w:jc w:val="center"/>
      </w:pPr>
      <w:r>
        <w:rPr>
          <w:rFonts w:ascii="Times New Roman" w:hAnsi="Times New Roman"/>
          <w:b w:val="0"/>
          <w:i/>
          <w:sz w:val="24"/>
        </w:rPr>
        <w:t>[Department], [Institution]</w:t>
      </w:r>
    </w:p>
    <w:p>
      <w:pPr>
        <w:spacing w:after="40" w:before="120" w:line="480" w:lineRule="auto"/>
        <w:jc w:val="center"/>
      </w:pPr>
      <w:r>
        <w:rPr>
          <w:rFonts w:ascii="Times New Roman" w:hAnsi="Times New Roman"/>
          <w:b/>
          <w:i w:val="0"/>
          <w:sz w:val="24"/>
        </w:rPr>
        <w:t>Author Note</w:t>
      </w:r>
    </w:p>
    <w:p>
      <w:pPr>
        <w:spacing w:before="0" w:after="120" w:line="480" w:lineRule="auto"/>
        <w:ind w:firstLine="720"/>
      </w:pPr>
      <w:r>
        <w:rPr>
          <w:rFonts w:ascii="Times New Roman" w:hAnsi="Times New Roman"/>
          <w:b w:val="0"/>
          <w:i w:val="0"/>
          <w:sz w:val="24"/>
        </w:rPr>
        <w:t>[Author Name] – ORCID: [0000-0000-0000-0000]. Correspondence concerning this article should be addressed to [Author Name], [Department], [Institution], [Address]. Email: [author@institution.edu]. The author declares no conflict of interest. This manuscript was prepared as a narrative (non-systematic) review; the source-identification procedure is described in Section 2. No human participants or primary data were involved.</w:t>
      </w:r>
    </w:p>
    <w:p>
      <w:r>
        <w:br w:type="page"/>
      </w:r>
    </w:p>
    <w:p>
      <w:pPr>
        <w:spacing w:after="40" w:before="0" w:line="480" w:lineRule="auto"/>
        <w:jc w:val="center"/>
      </w:pPr>
      <w:r>
        <w:rPr>
          <w:rFonts w:ascii="Times New Roman" w:hAnsi="Times New Roman"/>
          <w:b/>
          <w:i w:val="0"/>
          <w:sz w:val="24"/>
        </w:rPr>
        <w:t>Abstract</w:t>
      </w:r>
    </w:p>
    <w:p>
      <w:pPr>
        <w:spacing w:before="0" w:after="120" w:line="480" w:lineRule="auto"/>
      </w:pPr>
      <w:r>
        <w:rPr>
          <w:rFonts w:ascii="Times New Roman" w:hAnsi="Times New Roman"/>
          <w:b w:val="0"/>
          <w:i w:val="0"/>
          <w:sz w:val="24"/>
        </w:rPr>
        <w:t>This narrative review synthesizes the scholarly treatment of the English verb to clock and its imperative clock it in the sense of perceiving, recognizing, or exposing a person or a concealed truth. Drawing exclusively on peer-reviewed scholarship and scholarly lexicography, the review traces the item across four literatures: historical lexicography, transgender studies, the sociolinguistics of Black and Latinx queer vernacular, and critical media studies of drag. Three findings are advanced. First, the perception sense of to clock is lexicographically attested from the late 1920s, roughly half a century before its association with ballroom culture; the ballroom and transgender uses are therefore best analyzed as a semantic specialization of an existing slang verb rather than as its origin. Second, within transgender studies clocking names the recognition of transness and functions as the structural antonym of passing; recent philosophical work productively destabilizes the conventional valuation by theorizing passing as misrecognition and clocking as recognition. Third, the item participates in a now well-documented pathway of racialized appropriation, whereby African American and ballroom vernacular is recontextualized as generic ‘internet’ or ‘Gen Z’ language, with attendant indexical erasure. The review identifies a conspicuous lacuna: unlike its lexical siblings shade, reading, and tea, the item clock has received no dedicated empirical or lexicological study. The review specifies the methodological and archival steps required to close that gap and argues that to clock offers an unusually clear case for theorizing the interaction of semantic change, enregisterment, and raciolinguistic appropriation.</w:t>
      </w:r>
    </w:p>
    <w:p>
      <w:pPr>
        <w:spacing w:before="0" w:after="0" w:line="480" w:lineRule="auto"/>
      </w:pPr>
      <w:r>
        <w:rPr>
          <w:rFonts w:ascii="Times New Roman" w:hAnsi="Times New Roman"/>
          <w:b w:val="0"/>
          <w:i/>
          <w:sz w:val="24"/>
        </w:rPr>
        <w:t xml:space="preserve">Keywords: </w:t>
      </w:r>
      <w:r>
        <w:rPr>
          <w:rFonts w:ascii="Times New Roman" w:hAnsi="Times New Roman"/>
          <w:b w:val="0"/>
          <w:i w:val="0"/>
          <w:sz w:val="24"/>
        </w:rPr>
        <w:t>enregisterment; African American Vernacular English; transgender studies; ballroom culture; semantic change; linguistic appropriation; raciolinguistics; lexicography</w:t>
      </w:r>
    </w:p>
    <w:p>
      <w:r>
        <w:br w:type="page"/>
      </w:r>
    </w:p>
    <w:p>
      <w:pPr>
        <w:spacing w:before="240" w:after="40" w:line="480" w:lineRule="auto"/>
      </w:pPr>
      <w:r>
        <w:rPr>
          <w:rFonts w:ascii="Times New Roman" w:hAnsi="Times New Roman"/>
          <w:b/>
          <w:i w:val="0"/>
          <w:sz w:val="24"/>
        </w:rPr>
        <w:t>1  |  INTRODUCTION</w:t>
      </w:r>
    </w:p>
    <w:p>
      <w:pPr>
        <w:spacing w:before="0" w:after="0" w:line="480" w:lineRule="auto"/>
        <w:ind w:firstLine="720"/>
      </w:pPr>
      <w:r>
        <w:rPr>
          <w:rFonts w:ascii="Times New Roman" w:hAnsi="Times New Roman"/>
          <w:b w:val="0"/>
          <w:i w:val="0"/>
          <w:sz w:val="24"/>
        </w:rPr>
        <w:t>By the mid-2020s, the imperative clock it had become a conspicuous feature of anglophone digital culture, circulating on TikTok, in reality-television commentary, and across mainstream journalism as a way of flagging that a hidden truth has been perceived and named. Its trajectory is, on the surface, a familiar one: a piece of minoritized vernacular acquires mass currency and, in the process, sheds much of the context that gave it meaning. Yet the verb to clock is an unusually instructive case, because it sits at the intersection of three processes that sociolinguistics has tended to study separately: ordinary semantic change documented in the historical lexicographic record; the enregisterment of a minoritized variety with a characterological figure (Agha, 2003; Ilbury, 2020); and the racialized appropriation of African American Vernacular English (AAVE) and ballroom vocabulary into a putatively neutral ‘internet language’ (Crowley, 2025; Ilbury &amp; Walcott, 2026).</w:t>
      </w:r>
    </w:p>
    <w:p>
      <w:pPr>
        <w:spacing w:before="0" w:after="0" w:line="480" w:lineRule="auto"/>
        <w:ind w:firstLine="720"/>
      </w:pPr>
      <w:r>
        <w:rPr>
          <w:rFonts w:ascii="Times New Roman" w:hAnsi="Times New Roman"/>
          <w:b w:val="0"/>
          <w:i w:val="0"/>
          <w:sz w:val="24"/>
        </w:rPr>
        <w:t>This article offers a narrative review of how to clock and clock it have been treated across the relevant scholarship. The verb denotes, in its core modern sense, an act of recognition: to notice, to catch sight of, to read, or to expose. In transgender contexts it has a more specific and higher-stakes meaning – to be clocked is to be perceived as transgender, the experiential and political opposite of passing (Schiffer, 2022; Serano, 2007; Wong, 2025). In Black and Latinx ballroom and drag culture it names the detection of a concealed truth or flaw and stands alongside the better-studied practices of reading and throwing shade (Barrett, 2017; Bailey, 2013). The review asks three questions: (a) what does the historical and lexicographic record establish about the origins and development of the perception sense; (b) how has the transgender and ballroom sense been theorized; and (c) how has the item figured in scholarship on mediatization and appropriation?</w:t>
      </w:r>
    </w:p>
    <w:p>
      <w:pPr>
        <w:spacing w:before="0" w:after="0" w:line="480" w:lineRule="auto"/>
        <w:ind w:firstLine="720"/>
      </w:pPr>
      <w:r>
        <w:rPr>
          <w:rFonts w:ascii="Times New Roman" w:hAnsi="Times New Roman"/>
          <w:b w:val="0"/>
          <w:i w:val="0"/>
          <w:sz w:val="24"/>
        </w:rPr>
        <w:t>The central argument is that to clock rewards attention precisely because the scholarship that bears on it is fragmented across sub-disciplines that rarely cite one another. The lexicographic record locates the perception sense decades before the ballroom scene to which popular accounts attribute it; trans studies supplies the richest conceptual theorization but treats clock as borrowed vernacular rather than as an object of lexical analysis; and the sociolinguistics of appropriation supplies a powerful account of the item’s contemporary circulation without examining the item itself. Reading these literatures together yields a coherent genealogy and exposes a clear gap for future empirical work.</w:t>
      </w:r>
    </w:p>
    <w:p>
      <w:pPr>
        <w:spacing w:before="240" w:after="40" w:line="480" w:lineRule="auto"/>
      </w:pPr>
      <w:r>
        <w:rPr>
          <w:rFonts w:ascii="Times New Roman" w:hAnsi="Times New Roman"/>
          <w:b/>
          <w:i w:val="0"/>
          <w:sz w:val="24"/>
        </w:rPr>
        <w:t>2  |  METHOD AND SCOPE</w:t>
      </w:r>
    </w:p>
    <w:p>
      <w:pPr>
        <w:spacing w:before="0" w:after="0" w:line="480" w:lineRule="auto"/>
        <w:ind w:firstLine="720"/>
      </w:pPr>
      <w:r>
        <w:rPr>
          <w:rFonts w:ascii="Times New Roman" w:hAnsi="Times New Roman"/>
          <w:b w:val="0"/>
          <w:i w:val="0"/>
          <w:sz w:val="24"/>
        </w:rPr>
        <w:t>This is a narrative, not a systematic, review (Greenhalgh et al., 2018); its aim is interpretive synthesis across heterogeneous literatures rather than exhaustive enumeration. Sources were identified through iterative database and web searching across five thematic angles – historical lexicography; transgender studies; ballroom, drag, and AAVE sociolinguistics; the semantics and regional distribution of the verb; and media-studies treatments of drag – using the lemmas clock, clocked, clocking, and clock it in combination with terms such as passing, reading, shade, enregisterment, and appropriation.</w:t>
      </w:r>
    </w:p>
    <w:p>
      <w:pPr>
        <w:spacing w:before="0" w:after="0" w:line="480" w:lineRule="auto"/>
        <w:ind w:firstLine="720"/>
      </w:pPr>
      <w:r>
        <w:rPr>
          <w:rFonts w:ascii="Times New Roman" w:hAnsi="Times New Roman"/>
          <w:b w:val="0"/>
          <w:i w:val="0"/>
          <w:sz w:val="24"/>
        </w:rPr>
        <w:t>Two inclusion principles were applied. First, the evidentiary base was restricted to peer-reviewed publications, scholarly monographs and edited volumes from university and established academic presses, and recognized scholarly lexicography (the Oxford English Dictionary, Green’s Dictionary of Slang, the New Partridge Dictionary of Slang and Unconventional English, and Berrey and Van den Bark’s American Thesaurus of Slang). General-purpose dictionaries and journalistic or explainer sources were deliberately excluded from the evidentiary base; where popular claims are mentioned, they are flagged as such and treated as hypotheses to be tested, not as findings. Crowd-sourced encyclopaedias were excluded entirely. Second, the controlled vocabulary Homosaurus was admitted as scholarly metadata infrastructure rather than as an analytic source.</w:t>
      </w:r>
    </w:p>
    <w:p>
      <w:pPr>
        <w:spacing w:before="0" w:after="0" w:line="480" w:lineRule="auto"/>
        <w:ind w:firstLine="720"/>
      </w:pPr>
      <w:r>
        <w:rPr>
          <w:rFonts w:ascii="Times New Roman" w:hAnsi="Times New Roman"/>
          <w:b w:val="0"/>
          <w:i w:val="0"/>
          <w:sz w:val="24"/>
        </w:rPr>
        <w:t>Two limitations follow from the review’s procedure and should temper the confidence attached to the most fine-grained claims. Full texts behind several academic paywalls and the major dictionaries could not be retrieved directly during source identification; consequently, the precise dated citations reported in Section 3 rest on consistent secondary and catalogue evidence and should be confirmed against the subscription or print originals before being quoted verbatim. Where the literature supports only an inference rather than a direct statement – for example, linking a monograph on surveillance to the slang lexeme clock – this is stated explicitly. A confidence rating accompanies the synthesis in Section 8.</w:t>
      </w:r>
    </w:p>
    <w:p>
      <w:pPr>
        <w:spacing w:before="240" w:after="40" w:line="480" w:lineRule="auto"/>
      </w:pPr>
      <w:r>
        <w:rPr>
          <w:rFonts w:ascii="Times New Roman" w:hAnsi="Times New Roman"/>
          <w:b/>
          <w:i w:val="0"/>
          <w:sz w:val="24"/>
        </w:rPr>
        <w:t>3  |  THE LEXICOGRAPHIC RECORD: ETYMOLOGY AND THE PERCEPTION SENSE</w:t>
      </w:r>
    </w:p>
    <w:p>
      <w:pPr>
        <w:spacing w:before="0" w:after="0" w:line="480" w:lineRule="auto"/>
        <w:ind w:firstLine="720"/>
      </w:pPr>
      <w:r>
        <w:rPr>
          <w:rFonts w:ascii="Times New Roman" w:hAnsi="Times New Roman"/>
          <w:b w:val="0"/>
          <w:i w:val="0"/>
          <w:sz w:val="24"/>
        </w:rPr>
        <w:t>The noun clock entered English in the late fourteenth century, ultimately from Medieval Latin clocca ‘bell’ (probably of Celtic origin), by way of Middle Dutch and Old North French (Oxford English Dictionary [OED], n.d.). From this base, slang lexicography records several distinct verbal developments that must be kept analytically separate, because popular accounts routinely conflate them.</w:t>
      </w:r>
    </w:p>
    <w:p>
      <w:pPr>
        <w:spacing w:before="0" w:after="0" w:line="480" w:lineRule="auto"/>
        <w:ind w:firstLine="720"/>
      </w:pPr>
      <w:r>
        <w:rPr>
          <w:rFonts w:ascii="Times New Roman" w:hAnsi="Times New Roman"/>
          <w:b w:val="0"/>
          <w:i w:val="0"/>
          <w:sz w:val="24"/>
        </w:rPr>
        <w:t>A first branch derives from the early-twentieth-century use of clock as a slang noun for the human face, by analogy with the face of a timepiece rather than through rhyming slang. From this ‘face’ noun comes the verb to clock ‘to strike or punch,’ recorded from the early 1940s and frequently labeled Australian in origin; the American idiom to clean someone’s clock belongs to the same family (OED, n.d.). This pugilistic sense is etymologically and semantically distinct from the perception sense that is the subject of this review, and the two should not be conflated.</w:t>
      </w:r>
    </w:p>
    <w:p>
      <w:pPr>
        <w:spacing w:before="0" w:after="0" w:line="480" w:lineRule="auto"/>
        <w:ind w:firstLine="720"/>
      </w:pPr>
      <w:r>
        <w:rPr>
          <w:rFonts w:ascii="Times New Roman" w:hAnsi="Times New Roman"/>
          <w:b w:val="0"/>
          <w:i w:val="0"/>
          <w:sz w:val="24"/>
        </w:rPr>
        <w:t>The perception sense – to clock as ‘to catch sight of, to notice, to watch, to recognize’ – is the lexicographically pivotal one. The New Partridge Dictionary of Slang dates this sense to 1929, and a further early attestation appears in Berrey and Van den Bark’s American Thesaurus of Slang (1942), glossed as ‘to look at; see’ (Dalzell &amp; Victor, 2006). Green’s Dictionary of Slang offers the fullest gloss, defining the verb as ‘to see, to recognize, to notice, to watch, to understand, to work something out’ (Green, n.d.). The crucial datum for the present argument is chronological: the general perception sense is securely attested in the historical record roughly half a century before the ballroom and transgender uses with which the item is popularly associated.</w:t>
      </w:r>
    </w:p>
    <w:p>
      <w:pPr>
        <w:spacing w:before="0" w:after="0" w:line="480" w:lineRule="auto"/>
        <w:ind w:firstLine="720"/>
      </w:pPr>
      <w:r>
        <w:rPr>
          <w:rFonts w:ascii="Times New Roman" w:hAnsi="Times New Roman"/>
          <w:b w:val="0"/>
          <w:i w:val="0"/>
          <w:sz w:val="24"/>
        </w:rPr>
        <w:t>Two genuine uncertainties remain in the record and should not be smoothed over. The first concerns regional origin. Although the perception sense is widely felt to be British or Commonwealth colloquial – as in I clocked him the moment he walked in – lexicographic evidence variously tags it as originally North American, producing a counterintuitive mismatch between perceived and documented provenance that the accessible sources do not resolve. The second concerns the precise earliest citation, with the 1929 Partridge dating and the 1942 thesaurus attestation representing the two leading candidates. Neither uncertainty disturbs the central chronological point, but both indicate that the historical sociolinguistics of this item remains under-described.</w:t>
      </w:r>
    </w:p>
    <w:p>
      <w:pPr>
        <w:spacing w:before="160" w:after="40" w:line="480" w:lineRule="auto"/>
      </w:pPr>
      <w:r>
        <w:rPr>
          <w:rFonts w:ascii="Times New Roman" w:hAnsi="Times New Roman"/>
          <w:b/>
          <w:i/>
          <w:sz w:val="24"/>
        </w:rPr>
        <w:t>Table 1</w:t>
      </w:r>
    </w:p>
    <w:p>
      <w:pPr>
        <w:spacing w:before="0" w:after="40" w:line="480" w:lineRule="auto"/>
      </w:pPr>
      <w:r>
        <w:rPr>
          <w:rFonts w:ascii="Times New Roman" w:hAnsi="Times New Roman"/>
          <w:b w:val="0"/>
          <w:i/>
          <w:sz w:val="24"/>
        </w:rPr>
        <w:t xml:space="preserve">Documented senses of the verb </w:t>
      </w:r>
      <w:r>
        <w:rPr>
          <w:rFonts w:ascii="Times New Roman" w:hAnsi="Times New Roman"/>
          <w:b w:val="0"/>
          <w:i/>
          <w:sz w:val="24"/>
        </w:rPr>
        <w:t>to clock</w:t>
      </w:r>
      <w:r>
        <w:rPr>
          <w:rFonts w:ascii="Times New Roman" w:hAnsi="Times New Roman"/>
          <w:b w:val="0"/>
          <w:i/>
          <w:sz w:val="24"/>
        </w:rPr>
        <w:t xml:space="preserve"> and their approximate first attestation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sz w:val="22"/>
              </w:rPr>
              <w:t>Sense</w:t>
            </w:r>
          </w:p>
        </w:tc>
        <w:tc>
          <w:tcPr>
            <w:tcW w:type="dxa" w:w="3120"/>
          </w:tcPr>
          <w:p>
            <w:r>
              <w:rPr>
                <w:rFonts w:ascii="Times New Roman" w:hAnsi="Times New Roman"/>
                <w:b/>
                <w:sz w:val="22"/>
              </w:rPr>
              <w:t>Approx. first attestation</w:t>
            </w:r>
          </w:p>
        </w:tc>
        <w:tc>
          <w:tcPr>
            <w:tcW w:type="dxa" w:w="3120"/>
          </w:tcPr>
          <w:p>
            <w:r>
              <w:rPr>
                <w:rFonts w:ascii="Times New Roman" w:hAnsi="Times New Roman"/>
                <w:b/>
                <w:sz w:val="22"/>
              </w:rPr>
              <w:t>Source family</w:t>
            </w:r>
          </w:p>
        </w:tc>
      </w:tr>
      <w:tr>
        <w:tc>
          <w:tcPr>
            <w:tcW w:type="dxa" w:w="3120"/>
          </w:tcPr>
          <w:p>
            <w:pPr>
              <w:spacing w:line="240" w:lineRule="auto"/>
            </w:pPr>
            <w:r>
              <w:rPr>
                <w:rFonts w:ascii="Times New Roman" w:hAnsi="Times New Roman"/>
                <w:sz w:val="22"/>
              </w:rPr>
              <w:t>Noun: timepiece (&lt; L. clocca 'bell')</w:t>
            </w:r>
          </w:p>
        </w:tc>
        <w:tc>
          <w:tcPr>
            <w:tcW w:type="dxa" w:w="3120"/>
          </w:tcPr>
          <w:p>
            <w:pPr>
              <w:spacing w:line="240" w:lineRule="auto"/>
            </w:pPr>
            <w:r>
              <w:rPr>
                <w:rFonts w:ascii="Times New Roman" w:hAnsi="Times New Roman"/>
                <w:sz w:val="22"/>
              </w:rPr>
              <w:t>c. 1350–1400</w:t>
            </w:r>
          </w:p>
        </w:tc>
        <w:tc>
          <w:tcPr>
            <w:tcW w:type="dxa" w:w="3120"/>
          </w:tcPr>
          <w:p>
            <w:pPr>
              <w:spacing w:line="240" w:lineRule="auto"/>
            </w:pPr>
            <w:r>
              <w:rPr>
                <w:rFonts w:ascii="Times New Roman" w:hAnsi="Times New Roman"/>
                <w:sz w:val="22"/>
              </w:rPr>
              <w:t>OED</w:t>
            </w:r>
          </w:p>
        </w:tc>
      </w:tr>
      <w:tr>
        <w:tc>
          <w:tcPr>
            <w:tcW w:type="dxa" w:w="3120"/>
          </w:tcPr>
          <w:p>
            <w:pPr>
              <w:spacing w:line="240" w:lineRule="auto"/>
            </w:pPr>
            <w:r>
              <w:rPr>
                <w:rFonts w:ascii="Times New Roman" w:hAnsi="Times New Roman"/>
                <w:sz w:val="22"/>
              </w:rPr>
              <w:t>Noun: human face (timepiece analogy)</w:t>
            </w:r>
          </w:p>
        </w:tc>
        <w:tc>
          <w:tcPr>
            <w:tcW w:type="dxa" w:w="3120"/>
          </w:tcPr>
          <w:p>
            <w:pPr>
              <w:spacing w:line="240" w:lineRule="auto"/>
            </w:pPr>
            <w:r>
              <w:rPr>
                <w:rFonts w:ascii="Times New Roman" w:hAnsi="Times New Roman"/>
                <w:sz w:val="22"/>
              </w:rPr>
              <w:t>early 20th c.</w:t>
            </w:r>
          </w:p>
        </w:tc>
        <w:tc>
          <w:tcPr>
            <w:tcW w:type="dxa" w:w="3120"/>
          </w:tcPr>
          <w:p>
            <w:pPr>
              <w:spacing w:line="240" w:lineRule="auto"/>
            </w:pPr>
            <w:r>
              <w:rPr>
                <w:rFonts w:ascii="Times New Roman" w:hAnsi="Times New Roman"/>
                <w:sz w:val="22"/>
              </w:rPr>
              <w:t>OED; Green's</w:t>
            </w:r>
          </w:p>
        </w:tc>
      </w:tr>
      <w:tr>
        <w:tc>
          <w:tcPr>
            <w:tcW w:type="dxa" w:w="3120"/>
          </w:tcPr>
          <w:p>
            <w:pPr>
              <w:spacing w:line="240" w:lineRule="auto"/>
            </w:pPr>
            <w:r>
              <w:rPr>
                <w:rFonts w:ascii="Times New Roman" w:hAnsi="Times New Roman"/>
                <w:sz w:val="22"/>
              </w:rPr>
              <w:t>Verb: to strike, punch (&lt; 'face' noun)</w:t>
            </w:r>
          </w:p>
        </w:tc>
        <w:tc>
          <w:tcPr>
            <w:tcW w:type="dxa" w:w="3120"/>
          </w:tcPr>
          <w:p>
            <w:pPr>
              <w:spacing w:line="240" w:lineRule="auto"/>
            </w:pPr>
            <w:r>
              <w:rPr>
                <w:rFonts w:ascii="Times New Roman" w:hAnsi="Times New Roman"/>
                <w:sz w:val="22"/>
              </w:rPr>
              <w:t>c. 1941 (orig. Australian)</w:t>
            </w:r>
          </w:p>
        </w:tc>
        <w:tc>
          <w:tcPr>
            <w:tcW w:type="dxa" w:w="3120"/>
          </w:tcPr>
          <w:p>
            <w:pPr>
              <w:spacing w:line="240" w:lineRule="auto"/>
            </w:pPr>
            <w:r>
              <w:rPr>
                <w:rFonts w:ascii="Times New Roman" w:hAnsi="Times New Roman"/>
                <w:sz w:val="22"/>
              </w:rPr>
              <w:t>OED; etymonline</w:t>
            </w:r>
          </w:p>
        </w:tc>
      </w:tr>
      <w:tr>
        <w:tc>
          <w:tcPr>
            <w:tcW w:type="dxa" w:w="3120"/>
          </w:tcPr>
          <w:p>
            <w:pPr>
              <w:spacing w:line="240" w:lineRule="auto"/>
            </w:pPr>
            <w:r>
              <w:rPr>
                <w:rFonts w:ascii="Times New Roman" w:hAnsi="Times New Roman"/>
                <w:sz w:val="22"/>
              </w:rPr>
              <w:t>Verb: to notice, see, recognize, watch</w:t>
            </w:r>
          </w:p>
        </w:tc>
        <w:tc>
          <w:tcPr>
            <w:tcW w:type="dxa" w:w="3120"/>
          </w:tcPr>
          <w:p>
            <w:pPr>
              <w:spacing w:line="240" w:lineRule="auto"/>
            </w:pPr>
            <w:r>
              <w:rPr>
                <w:rFonts w:ascii="Times New Roman" w:hAnsi="Times New Roman"/>
                <w:sz w:val="22"/>
              </w:rPr>
              <w:t>1929 (Partridge); 1942 (Berrey &amp; Van den Bark)</w:t>
            </w:r>
          </w:p>
        </w:tc>
        <w:tc>
          <w:tcPr>
            <w:tcW w:type="dxa" w:w="3120"/>
          </w:tcPr>
          <w:p>
            <w:pPr>
              <w:spacing w:line="240" w:lineRule="auto"/>
            </w:pPr>
            <w:r>
              <w:rPr>
                <w:rFonts w:ascii="Times New Roman" w:hAnsi="Times New Roman"/>
                <w:sz w:val="22"/>
              </w:rPr>
              <w:t>New Partridge; Green's</w:t>
            </w:r>
          </w:p>
        </w:tc>
      </w:tr>
      <w:tr>
        <w:tc>
          <w:tcPr>
            <w:tcW w:type="dxa" w:w="3120"/>
          </w:tcPr>
          <w:p>
            <w:pPr>
              <w:spacing w:line="240" w:lineRule="auto"/>
            </w:pPr>
            <w:r>
              <w:rPr>
                <w:rFonts w:ascii="Times New Roman" w:hAnsi="Times New Roman"/>
                <w:sz w:val="22"/>
              </w:rPr>
              <w:t>Verb: to register/record (a time, speed)</w:t>
            </w:r>
          </w:p>
        </w:tc>
        <w:tc>
          <w:tcPr>
            <w:tcW w:type="dxa" w:w="3120"/>
          </w:tcPr>
          <w:p>
            <w:pPr>
              <w:spacing w:line="240" w:lineRule="auto"/>
            </w:pPr>
            <w:r>
              <w:rPr>
                <w:rFonts w:ascii="Times New Roman" w:hAnsi="Times New Roman"/>
                <w:sz w:val="22"/>
              </w:rPr>
              <w:t>20th c.</w:t>
            </w:r>
          </w:p>
        </w:tc>
        <w:tc>
          <w:tcPr>
            <w:tcW w:type="dxa" w:w="3120"/>
          </w:tcPr>
          <w:p>
            <w:pPr>
              <w:spacing w:line="240" w:lineRule="auto"/>
            </w:pPr>
            <w:r>
              <w:rPr>
                <w:rFonts w:ascii="Times New Roman" w:hAnsi="Times New Roman"/>
                <w:sz w:val="22"/>
              </w:rPr>
              <w:t>OED; Green's</w:t>
            </w:r>
          </w:p>
        </w:tc>
      </w:tr>
      <w:tr>
        <w:tc>
          <w:tcPr>
            <w:tcW w:type="dxa" w:w="3120"/>
          </w:tcPr>
          <w:p>
            <w:pPr>
              <w:spacing w:line="240" w:lineRule="auto"/>
            </w:pPr>
            <w:r>
              <w:rPr>
                <w:rFonts w:ascii="Times New Roman" w:hAnsi="Times New Roman"/>
                <w:sz w:val="22"/>
              </w:rPr>
              <w:t>Verb (specialized): to recognize someone as transgender</w:t>
            </w:r>
          </w:p>
        </w:tc>
        <w:tc>
          <w:tcPr>
            <w:tcW w:type="dxa" w:w="3120"/>
          </w:tcPr>
          <w:p>
            <w:pPr>
              <w:spacing w:line="240" w:lineRule="auto"/>
            </w:pPr>
            <w:r>
              <w:rPr>
                <w:rFonts w:ascii="Times New Roman" w:hAnsi="Times New Roman"/>
                <w:sz w:val="22"/>
              </w:rPr>
              <w:t>later 20th c. (ballroom; not lexicographically dated)</w:t>
            </w:r>
          </w:p>
        </w:tc>
        <w:tc>
          <w:tcPr>
            <w:tcW w:type="dxa" w:w="3120"/>
          </w:tcPr>
          <w:p>
            <w:pPr>
              <w:spacing w:line="240" w:lineRule="auto"/>
            </w:pPr>
            <w:r>
              <w:rPr>
                <w:rFonts w:ascii="Times New Roman" w:hAnsi="Times New Roman"/>
                <w:sz w:val="22"/>
              </w:rPr>
              <w:t>Trans studies; Homosaurus</w:t>
            </w:r>
          </w:p>
        </w:tc>
      </w:tr>
    </w:tbl>
    <w:p>
      <w:pPr>
        <w:spacing w:before="40" w:after="80" w:line="480" w:lineRule="auto"/>
      </w:pPr>
      <w:r>
        <w:rPr>
          <w:rFonts w:ascii="Times New Roman" w:hAnsi="Times New Roman"/>
          <w:b w:val="0"/>
          <w:i w:val="0"/>
          <w:sz w:val="20"/>
        </w:rPr>
        <w:t>Note. Datings derive from scholarly slang lexicography and should be confirmed against the subscription or print originals (see Section 2).</w:t>
      </w:r>
    </w:p>
    <w:p>
      <w:pPr>
        <w:spacing w:before="240" w:after="40" w:line="480" w:lineRule="auto"/>
      </w:pPr>
      <w:r>
        <w:rPr>
          <w:rFonts w:ascii="Times New Roman" w:hAnsi="Times New Roman"/>
          <w:b/>
          <w:i w:val="0"/>
          <w:sz w:val="24"/>
        </w:rPr>
        <w:t>4  |  FROM PERCEPTION TO DETECTION: A SEMANTIC SPECIALIZATION</w:t>
      </w:r>
    </w:p>
    <w:p>
      <w:pPr>
        <w:spacing w:before="0" w:after="0" w:line="480" w:lineRule="auto"/>
        <w:ind w:firstLine="720"/>
      </w:pPr>
      <w:r>
        <w:rPr>
          <w:rFonts w:ascii="Times New Roman" w:hAnsi="Times New Roman"/>
          <w:b w:val="0"/>
          <w:i w:val="0"/>
          <w:sz w:val="24"/>
        </w:rPr>
        <w:t>A recurrent claim in popular writing is that to clock originated in the Black and Latinx ballroom culture of 1980s New York. The lexicographic evidence reviewed above renders this untenable as an account of origin while clarifying what is nonetheless correct in it. The verb of perception predates the ballroom scene; what ballroom and transgender communities contributed was not the verb but a high-stakes specialization of it, narrowing a general sense of ‘noticing’ toward a specific and consequential referent: the detection that a person is transgender, in drag, or otherwise ‘not real’ in the ballroom sense of realness (Bailey, 2013).</w:t>
      </w:r>
    </w:p>
    <w:p>
      <w:pPr>
        <w:spacing w:before="0" w:after="0" w:line="480" w:lineRule="auto"/>
        <w:ind w:firstLine="720"/>
      </w:pPr>
      <w:r>
        <w:rPr>
          <w:rFonts w:ascii="Times New Roman" w:hAnsi="Times New Roman"/>
          <w:b w:val="0"/>
          <w:i w:val="0"/>
          <w:sz w:val="24"/>
        </w:rPr>
        <w:t>This reframing matters analytically. Semantic specialization (narrowing) followed by later re-generalization is a well-attested pathway of lexical change, and to clock exhibits it cleanly: a broad perception verb narrows within a community of practice to a specific act of gender detection, then broadens again as it diffuses outward into the generic contemporary sense of ‘noticing and naming a concealed truth.’ Treating the ballroom usage as origin obscures this trajectory; treating it as specialization makes the item’s history intelligible and reconciles the lexicographic and cultural literatures, which otherwise appear to contradict one another.</w:t>
      </w:r>
    </w:p>
    <w:p>
      <w:pPr>
        <w:spacing w:before="240" w:after="40" w:line="480" w:lineRule="auto"/>
      </w:pPr>
      <w:r>
        <w:rPr>
          <w:rFonts w:ascii="Times New Roman" w:hAnsi="Times New Roman"/>
          <w:b/>
          <w:i w:val="0"/>
          <w:sz w:val="24"/>
        </w:rPr>
        <w:t>5  |  CLOCKING IN TRANSGENDER STUDIES: RECOGNITION, PASSING, AND SURVEILLANCE</w:t>
      </w:r>
    </w:p>
    <w:p>
      <w:pPr>
        <w:spacing w:before="0" w:after="0" w:line="480" w:lineRule="auto"/>
        <w:ind w:firstLine="720"/>
      </w:pPr>
      <w:r>
        <w:rPr>
          <w:rFonts w:ascii="Times New Roman" w:hAnsi="Times New Roman"/>
          <w:b w:val="0"/>
          <w:i w:val="0"/>
          <w:sz w:val="24"/>
        </w:rPr>
        <w:t>It is in transgender studies that clocking has received its most sustained conceptual treatment, even though the field generally adopts the term as community vernacular rather than subjecting it to lexical analysis. The pivotal contribution is Wong’s (2025) analysis of the ambivalences of trans recognition. Working in social philosophy and drawing on Honneth, Wong treats clocking as the recognition of a person’s transness – an event that conventionally signals a failure to pass – and then performs a deliberate inversion of its usual valuation, arguing that, even for those who wish to pass, there are grounds to regard passing as itself a form of misrecognition and clocking as a form of recognition. This thesis stands as the sharpest scholarly disagreement in the corpus, directly contesting the lay framing in which being clocked is uniformly a harm.</w:t>
      </w:r>
    </w:p>
    <w:p>
      <w:pPr>
        <w:spacing w:before="0" w:after="0" w:line="480" w:lineRule="auto"/>
        <w:ind w:firstLine="720"/>
      </w:pPr>
      <w:r>
        <w:rPr>
          <w:rFonts w:ascii="Times New Roman" w:hAnsi="Times New Roman"/>
          <w:b w:val="0"/>
          <w:i w:val="0"/>
          <w:sz w:val="24"/>
        </w:rPr>
        <w:t>Schiffer’s (2022) ethnographic study brings the term into interactional sociology. Reflecting on fieldwork conducted as a transgender woman, Schiffer shows that whether or not she was clocked materially restructured her interactions with predominantly cisgender participants, and theorizes the resulting dynamic through Goffman, coining cistress for the guilt or anger that cisgender interlocutors display when cisnormative assumptions are disrupted. Here clocked functions as an ordinary analytic descriptor in the title and argument of a peer-reviewed article, evidencing the term’s uptake into scholarly register.</w:t>
      </w:r>
    </w:p>
    <w:p>
      <w:pPr>
        <w:spacing w:before="0" w:after="0" w:line="480" w:lineRule="auto"/>
        <w:ind w:firstLine="720"/>
      </w:pPr>
      <w:r>
        <w:rPr>
          <w:rFonts w:ascii="Times New Roman" w:hAnsi="Times New Roman"/>
          <w:b w:val="0"/>
          <w:i w:val="0"/>
          <w:sz w:val="24"/>
        </w:rPr>
        <w:t>Serano’s (2007) widely cited account – a trade-press book by a scholar–activist rather than a peer-reviewed work, and flagged as such – frames being read or clocked as a product of the cis assumption: the concepts would not exist, she argues, without the prior assumption that everyone encountered is cisgender. Once transness is suspected, observers engage in what she calls ungendering, actively foregrounding gender incongruities that would ordinarily pass unremarked. The conceptual antonym of being clocked is theorized at length by Beauchamp (2019), whose monograph on transgender politics and U.S. surveillance analyzes going stealth and argues, counterintuitively, that heightened visibility can render transgender people more rather than less surveillable. Beauchamp’s vocabulary centers on stealth, passing, and surveillance; the connection to the slang lexeme clock is conceptual rather than lexical, and is presented here as an inference.</w:t>
      </w:r>
    </w:p>
    <w:p>
      <w:pPr>
        <w:spacing w:before="0" w:after="0" w:line="480" w:lineRule="auto"/>
        <w:ind w:firstLine="720"/>
      </w:pPr>
      <w:r>
        <w:rPr>
          <w:rFonts w:ascii="Times New Roman" w:hAnsi="Times New Roman"/>
          <w:b w:val="0"/>
          <w:i w:val="0"/>
          <w:sz w:val="24"/>
        </w:rPr>
        <w:t>Finally, the emerging programme of trans linguistics (Zimman, 2020, 2024) theorizes how transness is perceived and recognized through vocal, grammatical, and discursive practice within structures of power. Notably, this subfield – the one closest to the present topic – does not appear to foreground the lexeme clock, a negative finding that reinforces the review’s central observation: clock is community vocabulary that scholars have adopted and theorized around, not a term coined or systematically analyzed within sociolinguistics. Its formalization as the indexing concept Clocking (Gender) in the Homosaurus controlled vocabulary (Homosaurus, n.d.) is institutional recognition of the concept, not lexical analysis of the word.</w:t>
      </w:r>
    </w:p>
    <w:p>
      <w:pPr>
        <w:spacing w:before="240" w:after="40" w:line="480" w:lineRule="auto"/>
      </w:pPr>
      <w:r>
        <w:rPr>
          <w:rFonts w:ascii="Times New Roman" w:hAnsi="Times New Roman"/>
          <w:b/>
          <w:i w:val="0"/>
          <w:sz w:val="24"/>
        </w:rPr>
        <w:t>6  |  CLOCKING AMONG READING AND SHADE: THE PRAGMATICS OF BLACK QUEER VERNACULAR</w:t>
      </w:r>
    </w:p>
    <w:p>
      <w:pPr>
        <w:spacing w:before="0" w:after="0" w:line="480" w:lineRule="auto"/>
        <w:ind w:firstLine="720"/>
      </w:pPr>
      <w:r>
        <w:rPr>
          <w:rFonts w:ascii="Times New Roman" w:hAnsi="Times New Roman"/>
          <w:b w:val="0"/>
          <w:i w:val="0"/>
          <w:sz w:val="24"/>
        </w:rPr>
        <w:t>The item belongs to a Black and Latinx queer vernacular system whose other members are comparatively well studied. The foundational linguistic scholarship is Barrett’s work on African American drag performance (Barrett, 1998, 2017), which analyzes the strategic styleswitching through which Black drag queens index multiple, sometimes conflicting, social personae, and which constitutes the intellectual home for the cluster reading, shade, and clocking. Bailey’s (2013) ethnography of ballroom culture establishes the broader frame, treating ballroom vernacular as a practice of survival, kinship, and resistance and supplying the authoritative account of realness – the performative achievement against which being clocked is the failure, with material consequences for safety, housing, and employment.</w:t>
      </w:r>
    </w:p>
    <w:p>
      <w:pPr>
        <w:spacing w:before="0" w:after="0" w:line="480" w:lineRule="auto"/>
        <w:ind w:firstLine="720"/>
      </w:pPr>
      <w:r>
        <w:rPr>
          <w:rFonts w:ascii="Times New Roman" w:hAnsi="Times New Roman"/>
          <w:b w:val="0"/>
          <w:i w:val="0"/>
          <w:sz w:val="24"/>
        </w:rPr>
        <w:t>The pragmatic literature distinguishes the cluster with some precision: clocking is the detection of a concealed truth or flaw; reading is the artful delivery of a pointed insult; and shade is the indirect, implicational form of reading. The speech act of reading has been analyzed as a form of reversed or mock impoliteness that builds solidarity rather than division, both in backstage drag interaction and in the mediatized ‘Reading Challenge’ of RuPaul’s Drag Race (Mann, 2011; McKinnon, 2023; Simmons, 2014). It is telling that even within this comparatively developed literature, reading and shade are defined and exemplified far more sharply than clocking, which tends to be glossed in passing. The asymmetry is itself evidence of the lacuna this review identifies.</w:t>
      </w:r>
    </w:p>
    <w:p>
      <w:pPr>
        <w:spacing w:before="240" w:after="40" w:line="480" w:lineRule="auto"/>
      </w:pPr>
      <w:r>
        <w:rPr>
          <w:rFonts w:ascii="Times New Roman" w:hAnsi="Times New Roman"/>
          <w:b/>
          <w:i w:val="0"/>
          <w:sz w:val="24"/>
        </w:rPr>
        <w:t>7  |  MEDIATIZATION, ENREGISTERMENT, AND RACIALIZED APPROPRIATION</w:t>
      </w:r>
    </w:p>
    <w:p>
      <w:pPr>
        <w:spacing w:before="0" w:after="0" w:line="480" w:lineRule="auto"/>
        <w:ind w:firstLine="720"/>
      </w:pPr>
      <w:r>
        <w:rPr>
          <w:rFonts w:ascii="Times New Roman" w:hAnsi="Times New Roman"/>
          <w:b w:val="0"/>
          <w:i w:val="0"/>
          <w:sz w:val="24"/>
        </w:rPr>
        <w:t>The contemporary circulation of clock it is best understood through the sociolinguistic literature on enregisterment and appropriation. Ilbury (2020) shows how AAVE features are stylized by non-Black gay men on social media to project a recognizable ‘Sassy Queen’ persona that rests on an essentialized image of Black women, demonstrating the enregisterment of AAVE with a characterological figure rather than with its actual speaker community. Building on this, Ilbury and Walcott (2026) analyze a corpus of TikTok videos in which AAVE features are recontextualized as generic ‘internet’ or ‘Gen Z’ language; crucially, they show that two competing metalinguistic discourses – ‘this is a new internet register’ versus ‘this is simply AAVE’ – coexist among users themselves, so that the contradiction is internal to the data rather than imposed by analysts. The relabeling, they argue, threatens the raciolinguistic enregisterment of AAVE as a Black variety of English through indexical erasure.</w:t>
      </w:r>
    </w:p>
    <w:p>
      <w:pPr>
        <w:spacing w:before="0" w:after="0" w:line="480" w:lineRule="auto"/>
        <w:ind w:firstLine="720"/>
      </w:pPr>
      <w:r>
        <w:rPr>
          <w:rFonts w:ascii="Times New Roman" w:hAnsi="Times New Roman"/>
          <w:b w:val="0"/>
          <w:i w:val="0"/>
          <w:sz w:val="24"/>
        </w:rPr>
        <w:t>Crowley (2025) extends the analysis to the racial politics of attribution within transgender communities. In ethnographic interviews with transgender South Carolinians, linguistic innovations traced to Black trans communities were characterized as ‘slang,’ while those attributed to white communities were characterized as ‘terminology,’ and participants described a trajectory by which Black-originated terms travel outward until they ‘just become queer slang,’ losing their racial attribution en route. This is precisely the mechanism that an item such as clock it undergoes, and Crowley’s account supplies the most direct model available for its erasure dynamics.</w:t>
      </w:r>
    </w:p>
    <w:p>
      <w:pPr>
        <w:spacing w:before="0" w:after="0" w:line="480" w:lineRule="auto"/>
        <w:ind w:firstLine="720"/>
      </w:pPr>
      <w:r>
        <w:rPr>
          <w:rFonts w:ascii="Times New Roman" w:hAnsi="Times New Roman"/>
          <w:b w:val="0"/>
          <w:i w:val="0"/>
          <w:sz w:val="24"/>
        </w:rPr>
        <w:t>Critical media studies of RuPaul’s Drag Race situate this diffusion within a political economy of commodification. Goldmark (2015) examines how the programme’s language of inclusion operates against an unmarked norm of English proficiency that complicates its multicultural address, while Hodes and Sandoval (2018) argue that the franchise commodifies and depoliticizes drag, evacuating its resistant history. These interpretive accounts stand in tension with celebratory framings of the programme as an engine of linguistic creativity, and with Butler’s (1993) influential reading of ballroom performance as subversive of gender norms – a tension already prefigured in hooks’s (1992) critique. The same diffusion phenomenon, in short, is read by different scholars with opposite valence: as innovation or as erasure, as subversion or as reinscription. An adequate account of clock it must hold both readings in view.</w:t>
      </w:r>
    </w:p>
    <w:p>
      <w:pPr>
        <w:spacing w:before="240" w:after="40" w:line="480" w:lineRule="auto"/>
      </w:pPr>
      <w:r>
        <w:rPr>
          <w:rFonts w:ascii="Times New Roman" w:hAnsi="Times New Roman"/>
          <w:b/>
          <w:i w:val="0"/>
          <w:sz w:val="24"/>
        </w:rPr>
        <w:t>8  |  DISCUSSION: A GENEALOGY AND A LACUNA</w:t>
      </w:r>
    </w:p>
    <w:p>
      <w:pPr>
        <w:spacing w:before="0" w:after="0" w:line="480" w:lineRule="auto"/>
        <w:ind w:firstLine="720"/>
      </w:pPr>
      <w:r>
        <w:rPr>
          <w:rFonts w:ascii="Times New Roman" w:hAnsi="Times New Roman"/>
          <w:b w:val="0"/>
          <w:i w:val="0"/>
          <w:sz w:val="24"/>
        </w:rPr>
        <w:t>Read together, the four literatures yield a coherent genealogy. A general slang verb of perception, attested from the late 1920s, was specialized within Black and Latinx ballroom and transgender communities into a high-stakes act of gender detection, the antonym of passing and realness. Theorized in transgender studies as a form of recognition with profound and ambivalent stakes (Schiffer, 2022; Wong, 2025), the item then diffused outward through mediatized drag and social media, re-generalizing into a broad contemporary sense of naming a concealed truth while undergoing the indexical erasure that attends the appropriation of AAVE and ballroom vernacular (Crowley, 2025; Ilbury &amp; Walcott, 2026). This genealogy integrates the chronological evidence of lexicography with the conceptual and political analyses of the cultural literatures, and it dissolves the apparent contradiction between ‘ballroom origin’ and ‘earlier attestation’ by distinguishing origin from specialization.</w:t>
      </w:r>
    </w:p>
    <w:p>
      <w:pPr>
        <w:spacing w:before="0" w:after="0" w:line="480" w:lineRule="auto"/>
        <w:ind w:firstLine="720"/>
      </w:pPr>
      <w:r>
        <w:rPr>
          <w:rFonts w:ascii="Times New Roman" w:hAnsi="Times New Roman"/>
          <w:b w:val="0"/>
          <w:i w:val="0"/>
          <w:sz w:val="24"/>
        </w:rPr>
        <w:t>The review also makes plain a conspicuous lacuna. Despite the rich treatment of its lexical siblings, the item clock has attracted no dedicated empirical or lexicological study; it is everywhere adjacent and nowhere central. Closing this gap would require three steps. First, a corpus-based diachronic study, modeled on existing work on shade and reading, could trace the item’s frequency, collocational profile, and register migration across community, broadcast, and social-media data. Second, a lexicological study working directly with the OED, Green’s, and Partridge archives could resolve the two open historical questions – the regional origin of the perception sense and its earliest secure citation. Third, an interactional study could specify the pragmatics of clocking as a speech act in its own right, distinct from reading and shade. Each step is feasible with established methods.</w:t>
      </w:r>
    </w:p>
    <w:p>
      <w:pPr>
        <w:spacing w:before="160" w:after="40" w:line="480" w:lineRule="auto"/>
      </w:pPr>
      <w:r>
        <w:rPr>
          <w:rFonts w:ascii="Times New Roman" w:hAnsi="Times New Roman"/>
          <w:b/>
          <w:i/>
          <w:sz w:val="24"/>
        </w:rPr>
        <w:t>Table 2</w:t>
      </w:r>
    </w:p>
    <w:p>
      <w:pPr>
        <w:spacing w:before="0" w:after="40" w:line="480" w:lineRule="auto"/>
      </w:pPr>
      <w:r>
        <w:rPr>
          <w:rFonts w:ascii="Times New Roman" w:hAnsi="Times New Roman"/>
          <w:b w:val="0"/>
          <w:i/>
          <w:sz w:val="24"/>
        </w:rPr>
        <w:t>Principal claims and confidence ratings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sz w:val="22"/>
              </w:rPr>
              <w:t>Claim</w:t>
            </w:r>
          </w:p>
        </w:tc>
        <w:tc>
          <w:tcPr>
            <w:tcW w:type="dxa" w:w="3120"/>
          </w:tcPr>
          <w:p>
            <w:r>
              <w:rPr>
                <w:rFonts w:ascii="Times New Roman" w:hAnsi="Times New Roman"/>
                <w:b/>
                <w:sz w:val="22"/>
              </w:rPr>
              <w:t>Confidence</w:t>
            </w:r>
          </w:p>
        </w:tc>
        <w:tc>
          <w:tcPr>
            <w:tcW w:type="dxa" w:w="3120"/>
          </w:tcPr>
          <w:p>
            <w:r>
              <w:rPr>
                <w:rFonts w:ascii="Times New Roman" w:hAnsi="Times New Roman"/>
                <w:b/>
                <w:sz w:val="22"/>
              </w:rPr>
              <w:t>Principal support</w:t>
            </w:r>
          </w:p>
        </w:tc>
      </w:tr>
      <w:tr>
        <w:tc>
          <w:tcPr>
            <w:tcW w:type="dxa" w:w="3120"/>
          </w:tcPr>
          <w:p>
            <w:pPr>
              <w:spacing w:line="240" w:lineRule="auto"/>
            </w:pPr>
            <w:r>
              <w:rPr>
                <w:rFonts w:ascii="Times New Roman" w:hAnsi="Times New Roman"/>
                <w:sz w:val="22"/>
              </w:rPr>
              <w:t>Perception sense attested c. 1929–1942, predating ballroom use</w:t>
            </w:r>
          </w:p>
        </w:tc>
        <w:tc>
          <w:tcPr>
            <w:tcW w:type="dxa" w:w="3120"/>
          </w:tcPr>
          <w:p>
            <w:pPr>
              <w:spacing w:line="240" w:lineRule="auto"/>
            </w:pPr>
            <w:r>
              <w:rPr>
                <w:rFonts w:ascii="Times New Roman" w:hAnsi="Times New Roman"/>
                <w:sz w:val="22"/>
              </w:rPr>
              <w:t>High</w:t>
            </w:r>
          </w:p>
        </w:tc>
        <w:tc>
          <w:tcPr>
            <w:tcW w:type="dxa" w:w="3120"/>
          </w:tcPr>
          <w:p>
            <w:pPr>
              <w:spacing w:line="240" w:lineRule="auto"/>
            </w:pPr>
            <w:r>
              <w:rPr>
                <w:rFonts w:ascii="Times New Roman" w:hAnsi="Times New Roman"/>
                <w:sz w:val="22"/>
              </w:rPr>
              <w:t>New Partridge; Berrey &amp; Van den Bark; Green's</w:t>
            </w:r>
          </w:p>
        </w:tc>
      </w:tr>
      <w:tr>
        <w:tc>
          <w:tcPr>
            <w:tcW w:type="dxa" w:w="3120"/>
          </w:tcPr>
          <w:p>
            <w:pPr>
              <w:spacing w:line="240" w:lineRule="auto"/>
            </w:pPr>
            <w:r>
              <w:rPr>
                <w:rFonts w:ascii="Times New Roman" w:hAnsi="Times New Roman"/>
                <w:sz w:val="22"/>
              </w:rPr>
              <w:t>Ballroom/trans use is a specialization, not the origin</w:t>
            </w:r>
          </w:p>
        </w:tc>
        <w:tc>
          <w:tcPr>
            <w:tcW w:type="dxa" w:w="3120"/>
          </w:tcPr>
          <w:p>
            <w:pPr>
              <w:spacing w:line="240" w:lineRule="auto"/>
            </w:pPr>
            <w:r>
              <w:rPr>
                <w:rFonts w:ascii="Times New Roman" w:hAnsi="Times New Roman"/>
                <w:sz w:val="22"/>
              </w:rPr>
              <w:t>High</w:t>
            </w:r>
          </w:p>
        </w:tc>
        <w:tc>
          <w:tcPr>
            <w:tcW w:type="dxa" w:w="3120"/>
          </w:tcPr>
          <w:p>
            <w:pPr>
              <w:spacing w:line="240" w:lineRule="auto"/>
            </w:pPr>
            <w:r>
              <w:rPr>
                <w:rFonts w:ascii="Times New Roman" w:hAnsi="Times New Roman"/>
                <w:sz w:val="22"/>
              </w:rPr>
              <w:t>Inference from lexicographic chronology</w:t>
            </w:r>
          </w:p>
        </w:tc>
      </w:tr>
      <w:tr>
        <w:tc>
          <w:tcPr>
            <w:tcW w:type="dxa" w:w="3120"/>
          </w:tcPr>
          <w:p>
            <w:pPr>
              <w:spacing w:line="240" w:lineRule="auto"/>
            </w:pPr>
            <w:r>
              <w:rPr>
                <w:rFonts w:ascii="Times New Roman" w:hAnsi="Times New Roman"/>
                <w:sz w:val="22"/>
              </w:rPr>
              <w:t>'Strike' sense (1941) is a separate branch from the perception sense</w:t>
            </w:r>
          </w:p>
        </w:tc>
        <w:tc>
          <w:tcPr>
            <w:tcW w:type="dxa" w:w="3120"/>
          </w:tcPr>
          <w:p>
            <w:pPr>
              <w:spacing w:line="240" w:lineRule="auto"/>
            </w:pPr>
            <w:r>
              <w:rPr>
                <w:rFonts w:ascii="Times New Roman" w:hAnsi="Times New Roman"/>
                <w:sz w:val="22"/>
              </w:rPr>
              <w:t>Med–high</w:t>
            </w:r>
          </w:p>
        </w:tc>
        <w:tc>
          <w:tcPr>
            <w:tcW w:type="dxa" w:w="3120"/>
          </w:tcPr>
          <w:p>
            <w:pPr>
              <w:spacing w:line="240" w:lineRule="auto"/>
            </w:pPr>
            <w:r>
              <w:rPr>
                <w:rFonts w:ascii="Times New Roman" w:hAnsi="Times New Roman"/>
                <w:sz w:val="22"/>
              </w:rPr>
              <w:t>OED</w:t>
            </w:r>
          </w:p>
        </w:tc>
      </w:tr>
      <w:tr>
        <w:tc>
          <w:tcPr>
            <w:tcW w:type="dxa" w:w="3120"/>
          </w:tcPr>
          <w:p>
            <w:pPr>
              <w:spacing w:line="240" w:lineRule="auto"/>
            </w:pPr>
            <w:r>
              <w:rPr>
                <w:rFonts w:ascii="Times New Roman" w:hAnsi="Times New Roman"/>
                <w:sz w:val="22"/>
              </w:rPr>
              <w:t>In trans studies, clocking is the antonym of passing</w:t>
            </w:r>
          </w:p>
        </w:tc>
        <w:tc>
          <w:tcPr>
            <w:tcW w:type="dxa" w:w="3120"/>
          </w:tcPr>
          <w:p>
            <w:pPr>
              <w:spacing w:line="240" w:lineRule="auto"/>
            </w:pPr>
            <w:r>
              <w:rPr>
                <w:rFonts w:ascii="Times New Roman" w:hAnsi="Times New Roman"/>
                <w:sz w:val="22"/>
              </w:rPr>
              <w:t>High</w:t>
            </w:r>
          </w:p>
        </w:tc>
        <w:tc>
          <w:tcPr>
            <w:tcW w:type="dxa" w:w="3120"/>
          </w:tcPr>
          <w:p>
            <w:pPr>
              <w:spacing w:line="240" w:lineRule="auto"/>
            </w:pPr>
            <w:r>
              <w:rPr>
                <w:rFonts w:ascii="Times New Roman" w:hAnsi="Times New Roman"/>
                <w:sz w:val="22"/>
              </w:rPr>
              <w:t>Wong (2025); Schiffer (2022)</w:t>
            </w:r>
          </w:p>
        </w:tc>
      </w:tr>
      <w:tr>
        <w:tc>
          <w:tcPr>
            <w:tcW w:type="dxa" w:w="3120"/>
          </w:tcPr>
          <w:p>
            <w:pPr>
              <w:spacing w:line="240" w:lineRule="auto"/>
            </w:pPr>
            <w:r>
              <w:rPr>
                <w:rFonts w:ascii="Times New Roman" w:hAnsi="Times New Roman"/>
                <w:sz w:val="22"/>
              </w:rPr>
              <w:t>Passing-as-misrecognition / clocking-as-recognition inversion</w:t>
            </w:r>
          </w:p>
        </w:tc>
        <w:tc>
          <w:tcPr>
            <w:tcW w:type="dxa" w:w="3120"/>
          </w:tcPr>
          <w:p>
            <w:pPr>
              <w:spacing w:line="240" w:lineRule="auto"/>
            </w:pPr>
            <w:r>
              <w:rPr>
                <w:rFonts w:ascii="Times New Roman" w:hAnsi="Times New Roman"/>
                <w:sz w:val="22"/>
              </w:rPr>
              <w:t>High</w:t>
            </w:r>
          </w:p>
        </w:tc>
        <w:tc>
          <w:tcPr>
            <w:tcW w:type="dxa" w:w="3120"/>
          </w:tcPr>
          <w:p>
            <w:pPr>
              <w:spacing w:line="240" w:lineRule="auto"/>
            </w:pPr>
            <w:r>
              <w:rPr>
                <w:rFonts w:ascii="Times New Roman" w:hAnsi="Times New Roman"/>
                <w:sz w:val="22"/>
              </w:rPr>
              <w:t>Wong (2025)</w:t>
            </w:r>
          </w:p>
        </w:tc>
      </w:tr>
      <w:tr>
        <w:tc>
          <w:tcPr>
            <w:tcW w:type="dxa" w:w="3120"/>
          </w:tcPr>
          <w:p>
            <w:pPr>
              <w:spacing w:line="240" w:lineRule="auto"/>
            </w:pPr>
            <w:r>
              <w:rPr>
                <w:rFonts w:ascii="Times New Roman" w:hAnsi="Times New Roman"/>
                <w:sz w:val="22"/>
              </w:rPr>
              <w:t>Diffusion best framed as racialized appropriation/erasure</w:t>
            </w:r>
          </w:p>
        </w:tc>
        <w:tc>
          <w:tcPr>
            <w:tcW w:type="dxa" w:w="3120"/>
          </w:tcPr>
          <w:p>
            <w:pPr>
              <w:spacing w:line="240" w:lineRule="auto"/>
            </w:pPr>
            <w:r>
              <w:rPr>
                <w:rFonts w:ascii="Times New Roman" w:hAnsi="Times New Roman"/>
                <w:sz w:val="22"/>
              </w:rPr>
              <w:t>High</w:t>
            </w:r>
          </w:p>
        </w:tc>
        <w:tc>
          <w:tcPr>
            <w:tcW w:type="dxa" w:w="3120"/>
          </w:tcPr>
          <w:p>
            <w:pPr>
              <w:spacing w:line="240" w:lineRule="auto"/>
            </w:pPr>
            <w:r>
              <w:rPr>
                <w:rFonts w:ascii="Times New Roman" w:hAnsi="Times New Roman"/>
                <w:sz w:val="22"/>
              </w:rPr>
              <w:t>Ilbury (2020); Ilbury &amp; Walcott (2026); Crowley (2025)</w:t>
            </w:r>
          </w:p>
        </w:tc>
      </w:tr>
      <w:tr>
        <w:tc>
          <w:tcPr>
            <w:tcW w:type="dxa" w:w="3120"/>
          </w:tcPr>
          <w:p>
            <w:pPr>
              <w:spacing w:line="240" w:lineRule="auto"/>
            </w:pPr>
            <w:r>
              <w:rPr>
                <w:rFonts w:ascii="Times New Roman" w:hAnsi="Times New Roman"/>
                <w:sz w:val="22"/>
              </w:rPr>
              <w:t>clock vs reading vs shade are distinct speech acts</w:t>
            </w:r>
          </w:p>
        </w:tc>
        <w:tc>
          <w:tcPr>
            <w:tcW w:type="dxa" w:w="3120"/>
          </w:tcPr>
          <w:p>
            <w:pPr>
              <w:spacing w:line="240" w:lineRule="auto"/>
            </w:pPr>
            <w:r>
              <w:rPr>
                <w:rFonts w:ascii="Times New Roman" w:hAnsi="Times New Roman"/>
                <w:sz w:val="22"/>
              </w:rPr>
              <w:t>Medium</w:t>
            </w:r>
          </w:p>
        </w:tc>
        <w:tc>
          <w:tcPr>
            <w:tcW w:type="dxa" w:w="3120"/>
          </w:tcPr>
          <w:p>
            <w:pPr>
              <w:spacing w:line="240" w:lineRule="auto"/>
            </w:pPr>
            <w:r>
              <w:rPr>
                <w:rFonts w:ascii="Times New Roman" w:hAnsi="Times New Roman"/>
                <w:sz w:val="22"/>
              </w:rPr>
              <w:t>Mann (2011); McKinnon (2023); Simmons (2014)</w:t>
            </w:r>
          </w:p>
        </w:tc>
      </w:tr>
      <w:tr>
        <w:tc>
          <w:tcPr>
            <w:tcW w:type="dxa" w:w="3120"/>
          </w:tcPr>
          <w:p>
            <w:pPr>
              <w:spacing w:line="240" w:lineRule="auto"/>
            </w:pPr>
            <w:r>
              <w:rPr>
                <w:rFonts w:ascii="Times New Roman" w:hAnsi="Times New Roman"/>
                <w:sz w:val="22"/>
              </w:rPr>
              <w:t>Regional origin (US vs British) of perception sense</w:t>
            </w:r>
          </w:p>
        </w:tc>
        <w:tc>
          <w:tcPr>
            <w:tcW w:type="dxa" w:w="3120"/>
          </w:tcPr>
          <w:p>
            <w:pPr>
              <w:spacing w:line="240" w:lineRule="auto"/>
            </w:pPr>
            <w:r>
              <w:rPr>
                <w:rFonts w:ascii="Times New Roman" w:hAnsi="Times New Roman"/>
                <w:sz w:val="22"/>
              </w:rPr>
              <w:t>Low (contested)</w:t>
            </w:r>
          </w:p>
        </w:tc>
        <w:tc>
          <w:tcPr>
            <w:tcW w:type="dxa" w:w="3120"/>
          </w:tcPr>
          <w:p>
            <w:pPr>
              <w:spacing w:line="240" w:lineRule="auto"/>
            </w:pPr>
            <w:r>
              <w:rPr>
                <w:rFonts w:ascii="Times New Roman" w:hAnsi="Times New Roman"/>
                <w:sz w:val="22"/>
              </w:rPr>
              <w:t>OED vs. usage evidence</w:t>
            </w:r>
          </w:p>
        </w:tc>
      </w:tr>
      <w:tr>
        <w:tc>
          <w:tcPr>
            <w:tcW w:type="dxa" w:w="3120"/>
          </w:tcPr>
          <w:p>
            <w:pPr>
              <w:spacing w:line="240" w:lineRule="auto"/>
            </w:pPr>
            <w:r>
              <w:rPr>
                <w:rFonts w:ascii="Times New Roman" w:hAnsi="Times New Roman"/>
                <w:sz w:val="22"/>
              </w:rPr>
              <w:t>No dedicated study of clock exists (lacuna)</w:t>
            </w:r>
          </w:p>
        </w:tc>
        <w:tc>
          <w:tcPr>
            <w:tcW w:type="dxa" w:w="3120"/>
          </w:tcPr>
          <w:p>
            <w:pPr>
              <w:spacing w:line="240" w:lineRule="auto"/>
            </w:pPr>
            <w:r>
              <w:rPr>
                <w:rFonts w:ascii="Times New Roman" w:hAnsi="Times New Roman"/>
                <w:sz w:val="22"/>
              </w:rPr>
              <w:t>High</w:t>
            </w:r>
          </w:p>
        </w:tc>
        <w:tc>
          <w:tcPr>
            <w:tcW w:type="dxa" w:w="3120"/>
          </w:tcPr>
          <w:p>
            <w:pPr>
              <w:spacing w:line="240" w:lineRule="auto"/>
            </w:pPr>
            <w:r>
              <w:rPr>
                <w:rFonts w:ascii="Times New Roman" w:hAnsi="Times New Roman"/>
                <w:sz w:val="22"/>
              </w:rPr>
              <w:t>Convergent negative finding</w:t>
            </w:r>
          </w:p>
        </w:tc>
      </w:tr>
    </w:tbl>
    <w:p>
      <w:pPr>
        <w:spacing w:before="0" w:after="40" w:line="480" w:lineRule="auto"/>
      </w:pPr>
    </w:p>
    <w:p>
      <w:pPr>
        <w:spacing w:before="240" w:after="40" w:line="480" w:lineRule="auto"/>
      </w:pPr>
      <w:r>
        <w:rPr>
          <w:rFonts w:ascii="Times New Roman" w:hAnsi="Times New Roman"/>
          <w:b/>
          <w:i w:val="0"/>
          <w:sz w:val="24"/>
        </w:rPr>
        <w:t>9  |  CONCLUSION</w:t>
      </w:r>
    </w:p>
    <w:p>
      <w:pPr>
        <w:spacing w:before="0" w:after="0" w:line="480" w:lineRule="auto"/>
        <w:ind w:firstLine="720"/>
      </w:pPr>
      <w:r>
        <w:rPr>
          <w:rFonts w:ascii="Times New Roman" w:hAnsi="Times New Roman"/>
          <w:b w:val="0"/>
          <w:i w:val="0"/>
          <w:sz w:val="24"/>
        </w:rPr>
        <w:t>The verb to clock and its imperative clock it compress, in a single lexical item, three processes that sociolinguistics usually studies apart: documented semantic change, the enregisterment of a minoritized variety, and the racialized appropriation of that variety into a putatively neutral mainstream. The item’s history is best told not as a story of ballroom invention but as one of specialization and re-generalization: a general perception verb narrowed within Black and Latinx transgender and ballroom communities into the consequential antonym of passing, then broadened again as it was mediatized and appropriated, shedding its racial indexicality along the way. That the field has theorized the politics of this item far more thoroughly than it has described the item itself is the review’s central finding and its principal invitation to future work. To clock the tea, in the end, is to perform exactly the act of recognition this article recommends turning back upon the word itself.</w:t>
      </w:r>
    </w:p>
    <w:p>
      <w:r>
        <w:br w:type="page"/>
      </w:r>
    </w:p>
    <w:p>
      <w:pPr>
        <w:spacing w:after="80" w:before="0" w:line="480" w:lineRule="auto"/>
        <w:jc w:val="center"/>
      </w:pPr>
      <w:r>
        <w:rPr>
          <w:rFonts w:ascii="Times New Roman" w:hAnsi="Times New Roman"/>
          <w:b/>
          <w:i w:val="0"/>
          <w:sz w:val="24"/>
        </w:rPr>
        <w:t>References</w:t>
      </w:r>
    </w:p>
    <w:p>
      <w:pPr>
        <w:spacing w:line="480" w:lineRule="auto" w:after="0"/>
        <w:ind w:left="720" w:hanging="720"/>
      </w:pPr>
      <w:r>
        <w:rPr>
          <w:rFonts w:ascii="Times New Roman" w:hAnsi="Times New Roman"/>
          <w:b w:val="0"/>
          <w:i w:val="0"/>
          <w:sz w:val="24"/>
        </w:rPr>
        <w:t>Agha, A. (2003). The social life of cultural value. Language &amp; Communication, 23(3–4), 231–273. https://doi.org/10.1016/S0271-5309(03)00012-0</w:t>
      </w:r>
    </w:p>
    <w:p>
      <w:pPr>
        <w:spacing w:line="480" w:lineRule="auto" w:after="0"/>
        <w:ind w:left="720" w:hanging="720"/>
      </w:pPr>
      <w:r>
        <w:rPr>
          <w:rFonts w:ascii="Times New Roman" w:hAnsi="Times New Roman"/>
          <w:b w:val="0"/>
          <w:i w:val="0"/>
          <w:sz w:val="24"/>
        </w:rPr>
        <w:t>Bailey, M. M. (2013). Butch queens up in pumps: Gender, performance, and ballroom culture in Detroit. University of Michigan Press.</w:t>
      </w:r>
    </w:p>
    <w:p>
      <w:pPr>
        <w:spacing w:line="480" w:lineRule="auto" w:after="0"/>
        <w:ind w:left="720" w:hanging="720"/>
      </w:pPr>
      <w:r>
        <w:rPr>
          <w:rFonts w:ascii="Times New Roman" w:hAnsi="Times New Roman"/>
          <w:b w:val="0"/>
          <w:i w:val="0"/>
          <w:sz w:val="24"/>
        </w:rPr>
        <w:t>Barrett, R. (1998). Markedness and styleswitching in performances by African American drag queens. In C. Myers-Scotton (Ed.), Codes and consequences: Choosing linguistic varieties (pp. 139–161). Oxford University Press.</w:t>
      </w:r>
    </w:p>
    <w:p>
      <w:pPr>
        <w:spacing w:line="480" w:lineRule="auto" w:after="0"/>
        <w:ind w:left="720" w:hanging="720"/>
      </w:pPr>
      <w:r>
        <w:rPr>
          <w:rFonts w:ascii="Times New Roman" w:hAnsi="Times New Roman"/>
          <w:b w:val="0"/>
          <w:i w:val="0"/>
          <w:sz w:val="24"/>
        </w:rPr>
        <w:t>Barrett, R. (2017). From drag queens to leathermen: Language, gender, and gay male subcultures. Oxford University Press.</w:t>
      </w:r>
    </w:p>
    <w:p>
      <w:pPr>
        <w:spacing w:line="480" w:lineRule="auto" w:after="0"/>
        <w:ind w:left="720" w:hanging="720"/>
      </w:pPr>
      <w:r>
        <w:rPr>
          <w:rFonts w:ascii="Times New Roman" w:hAnsi="Times New Roman"/>
          <w:b w:val="0"/>
          <w:i w:val="0"/>
          <w:sz w:val="24"/>
        </w:rPr>
        <w:t>Beauchamp, T. (2019). Going stealth: Transgender politics and U.S. surveillance practices. Duke University Press.</w:t>
      </w:r>
    </w:p>
    <w:p>
      <w:pPr>
        <w:spacing w:line="480" w:lineRule="auto" w:after="0"/>
        <w:ind w:left="720" w:hanging="720"/>
      </w:pPr>
      <w:r>
        <w:rPr>
          <w:rFonts w:ascii="Times New Roman" w:hAnsi="Times New Roman"/>
          <w:b w:val="0"/>
          <w:i w:val="0"/>
          <w:sz w:val="24"/>
        </w:rPr>
        <w:t>Berrey, L. V., &amp; Van den Bark, M. (1942). The American thesaurus of slang. Thomas Y. Crowell.</w:t>
      </w:r>
    </w:p>
    <w:p>
      <w:pPr>
        <w:spacing w:line="480" w:lineRule="auto" w:after="0"/>
        <w:ind w:left="720" w:hanging="720"/>
      </w:pPr>
      <w:r>
        <w:rPr>
          <w:rFonts w:ascii="Times New Roman" w:hAnsi="Times New Roman"/>
          <w:b w:val="0"/>
          <w:i w:val="0"/>
          <w:sz w:val="24"/>
        </w:rPr>
        <w:t>Butler, J. (1993). Bodies that matter: On the discursive limits of “sex.” Routledge.</w:t>
      </w:r>
    </w:p>
    <w:p>
      <w:pPr>
        <w:spacing w:line="480" w:lineRule="auto" w:after="0"/>
        <w:ind w:left="720" w:hanging="720"/>
      </w:pPr>
      <w:r>
        <w:rPr>
          <w:rFonts w:ascii="Times New Roman" w:hAnsi="Times New Roman"/>
          <w:b w:val="0"/>
          <w:i w:val="0"/>
          <w:sz w:val="24"/>
        </w:rPr>
        <w:t>Crowley, A. (2025). “And it just becomes queer slang”: Race, linguistic innovation, and appropriation within trans communities in the US South. Journal of Linguistic Anthropology, 35(2), e70008. https://doi.org/10.1111/jola.70008</w:t>
      </w:r>
    </w:p>
    <w:p>
      <w:pPr>
        <w:spacing w:line="480" w:lineRule="auto" w:after="0"/>
        <w:ind w:left="720" w:hanging="720"/>
      </w:pPr>
      <w:r>
        <w:rPr>
          <w:rFonts w:ascii="Times New Roman" w:hAnsi="Times New Roman"/>
          <w:b w:val="0"/>
          <w:i w:val="0"/>
          <w:sz w:val="24"/>
        </w:rPr>
        <w:t>Dalzell, T., &amp; Victor, T. (Eds.). (2006). The new Partridge dictionary of slang and unconventional English. Routledge.</w:t>
      </w:r>
    </w:p>
    <w:p>
      <w:pPr>
        <w:spacing w:line="480" w:lineRule="auto" w:after="0"/>
        <w:ind w:left="720" w:hanging="720"/>
      </w:pPr>
      <w:r>
        <w:rPr>
          <w:rFonts w:ascii="Times New Roman" w:hAnsi="Times New Roman"/>
          <w:b w:val="0"/>
          <w:i w:val="0"/>
          <w:sz w:val="24"/>
        </w:rPr>
        <w:t>Goldmark, M. (2015). National drag: The language of inclusion in RuPaul’s Drag Race. GLQ: A Journal of Lesbian and Gay Studies, 21(4), 501–520. https://doi.org/10.1215/10642684-3123665</w:t>
      </w:r>
    </w:p>
    <w:p>
      <w:pPr>
        <w:spacing w:line="480" w:lineRule="auto" w:after="0"/>
        <w:ind w:left="720" w:hanging="720"/>
      </w:pPr>
      <w:r>
        <w:rPr>
          <w:rFonts w:ascii="Times New Roman" w:hAnsi="Times New Roman"/>
          <w:b w:val="0"/>
          <w:i w:val="0"/>
          <w:sz w:val="24"/>
        </w:rPr>
        <w:t>Green, J. (n.d.). Clock, v. In Green’s dictionary of slang. Retrieved June 8, 2026, from https://greensdictofslang.com/entry/acsmoaa</w:t>
      </w:r>
    </w:p>
    <w:p>
      <w:pPr>
        <w:spacing w:line="480" w:lineRule="auto" w:after="0"/>
        <w:ind w:left="720" w:hanging="720"/>
      </w:pPr>
      <w:r>
        <w:rPr>
          <w:rFonts w:ascii="Times New Roman" w:hAnsi="Times New Roman"/>
          <w:b w:val="0"/>
          <w:i w:val="0"/>
          <w:sz w:val="24"/>
        </w:rPr>
        <w:t>Greenhalgh, T., Thorne, S., &amp; Malterud, K. (2018). Time to challenge the spurious hierarchy of systematic over narrative reviews? European Journal of Clinical Investigation, 48(6), e12931. https://doi.org/10.1111/eci.12931</w:t>
      </w:r>
    </w:p>
    <w:p>
      <w:pPr>
        <w:spacing w:line="480" w:lineRule="auto" w:after="0"/>
        <w:ind w:left="720" w:hanging="720"/>
      </w:pPr>
      <w:r>
        <w:rPr>
          <w:rFonts w:ascii="Times New Roman" w:hAnsi="Times New Roman"/>
          <w:b w:val="0"/>
          <w:i w:val="0"/>
          <w:sz w:val="24"/>
        </w:rPr>
        <w:t>Hodes, C., &amp; Sandoval, J. (2018). RuPaul’s Drag Race: A study in the commodification of white ruling-class femininity and the etiolation of drag. Studies in Costume &amp; Performance, 3(2), 149–166. https://doi.org/10.1386/scp.3.2.149_1</w:t>
      </w:r>
    </w:p>
    <w:p>
      <w:pPr>
        <w:spacing w:line="480" w:lineRule="auto" w:after="0"/>
        <w:ind w:left="720" w:hanging="720"/>
      </w:pPr>
      <w:r>
        <w:rPr>
          <w:rFonts w:ascii="Times New Roman" w:hAnsi="Times New Roman"/>
          <w:b w:val="0"/>
          <w:i w:val="0"/>
          <w:sz w:val="24"/>
        </w:rPr>
        <w:t>Homosaurus. (n.d.). Clocking (gender) [homoit0001781]. In Homosaurus (v3). Retrieved June 8, 2026, from https://homosaurus.org/v3/homoit0001781</w:t>
      </w:r>
    </w:p>
    <w:p>
      <w:pPr>
        <w:spacing w:line="480" w:lineRule="auto" w:after="0"/>
        <w:ind w:left="720" w:hanging="720"/>
      </w:pPr>
      <w:r>
        <w:rPr>
          <w:rFonts w:ascii="Times New Roman" w:hAnsi="Times New Roman"/>
          <w:b w:val="0"/>
          <w:i w:val="0"/>
          <w:sz w:val="24"/>
        </w:rPr>
        <w:t>hooks, b. (1992). Is Paris burning? In Black looks: Race and representation (pp. 145–156). South End Press.</w:t>
      </w:r>
    </w:p>
    <w:p>
      <w:pPr>
        <w:spacing w:line="480" w:lineRule="auto" w:after="0"/>
        <w:ind w:left="720" w:hanging="720"/>
      </w:pPr>
      <w:r>
        <w:rPr>
          <w:rFonts w:ascii="Times New Roman" w:hAnsi="Times New Roman"/>
          <w:b w:val="0"/>
          <w:i w:val="0"/>
          <w:sz w:val="24"/>
        </w:rPr>
        <w:t>Ilbury, C. (2020). “Sassy queens”: Stylistic orthographic variation in Twitter and the enregisterment of AAVE. Journal of Sociolinguistics, 24(2), 245–264. https://doi.org/10.1111/josl.12366</w:t>
      </w:r>
    </w:p>
    <w:p>
      <w:pPr>
        <w:spacing w:line="480" w:lineRule="auto" w:after="0"/>
        <w:ind w:left="720" w:hanging="720"/>
      </w:pPr>
      <w:r>
        <w:rPr>
          <w:rFonts w:ascii="Times New Roman" w:hAnsi="Times New Roman"/>
          <w:b w:val="0"/>
          <w:i w:val="0"/>
          <w:sz w:val="24"/>
        </w:rPr>
        <w:t>Ilbury, C., &amp; Walcott, R. (2026). “Gen Z language? Y’all mean AAVE”: The appropriation of African American Vernacular English as “TikTok language.” Journal of Sociolinguistics. Advance online publication. https://doi.org/10.1111/josl.70024</w:t>
      </w:r>
    </w:p>
    <w:p>
      <w:pPr>
        <w:spacing w:line="480" w:lineRule="auto" w:after="0"/>
        <w:ind w:left="720" w:hanging="720"/>
      </w:pPr>
      <w:r>
        <w:rPr>
          <w:rFonts w:ascii="Times New Roman" w:hAnsi="Times New Roman"/>
          <w:b w:val="0"/>
          <w:i w:val="0"/>
          <w:sz w:val="24"/>
        </w:rPr>
        <w:t>Mann, S. L. (2011). “Building a thick skin for each other”: The use of “reading” as an interactional practice of mock impoliteness in drag queen backstage talk. Journal of Language and Sexuality.</w:t>
      </w:r>
    </w:p>
    <w:p>
      <w:pPr>
        <w:spacing w:line="480" w:lineRule="auto" w:after="0"/>
        <w:ind w:left="720" w:hanging="720"/>
      </w:pPr>
      <w:r>
        <w:rPr>
          <w:rFonts w:ascii="Times New Roman" w:hAnsi="Times New Roman"/>
          <w:b w:val="0"/>
          <w:i w:val="0"/>
          <w:sz w:val="24"/>
        </w:rPr>
        <w:t>McKinnon, S. (2023). “Haute couture? More like haute glue!”: The discourse of the reading challenge in RuPaul’s Drag Race. Journal of Language and Sexuality, 12(1), 73–97. https://doi.org/10.1075/jls.21013</w:t>
      </w:r>
    </w:p>
    <w:p>
      <w:pPr>
        <w:spacing w:line="480" w:lineRule="auto" w:after="0"/>
        <w:ind w:left="720" w:hanging="720"/>
      </w:pPr>
      <w:r>
        <w:rPr>
          <w:rFonts w:ascii="Times New Roman" w:hAnsi="Times New Roman"/>
          <w:b w:val="0"/>
          <w:i w:val="0"/>
          <w:sz w:val="24"/>
        </w:rPr>
        <w:t>Oxford English Dictionary. (n.d.). Clock (n.1, v.). In Oxford English Dictionary. Retrieved June 8, 2026, from https://www.oed.com/dictionary/clock_n1</w:t>
      </w:r>
    </w:p>
    <w:p>
      <w:pPr>
        <w:spacing w:line="480" w:lineRule="auto" w:after="0"/>
        <w:ind w:left="720" w:hanging="720"/>
      </w:pPr>
      <w:r>
        <w:rPr>
          <w:rFonts w:ascii="Times New Roman" w:hAnsi="Times New Roman"/>
          <w:b w:val="0"/>
          <w:i w:val="0"/>
          <w:sz w:val="24"/>
        </w:rPr>
        <w:t>Schiffer, D. J. (2022). Researching while trans: Being clocked and cooling cistress. Journal of Contemporary Ethnography, 51(5), 700–725. https://doi.org/10.1177/08912416221081870</w:t>
      </w:r>
    </w:p>
    <w:p>
      <w:pPr>
        <w:spacing w:line="480" w:lineRule="auto" w:after="0"/>
        <w:ind w:left="720" w:hanging="720"/>
      </w:pPr>
      <w:r>
        <w:rPr>
          <w:rFonts w:ascii="Times New Roman" w:hAnsi="Times New Roman"/>
          <w:b w:val="0"/>
          <w:i w:val="0"/>
          <w:sz w:val="24"/>
        </w:rPr>
        <w:t>Serano, J. (2007). Whipping girl: A transsexual woman on sexism and the scapegoating of femininity. Seal Press.</w:t>
      </w:r>
    </w:p>
    <w:p>
      <w:pPr>
        <w:spacing w:line="480" w:lineRule="auto" w:after="0"/>
        <w:ind w:left="720" w:hanging="720"/>
      </w:pPr>
      <w:r>
        <w:rPr>
          <w:rFonts w:ascii="Times New Roman" w:hAnsi="Times New Roman"/>
          <w:b w:val="0"/>
          <w:i w:val="0"/>
          <w:sz w:val="24"/>
        </w:rPr>
        <w:t>Simmons, N. (2014). Speaking like a queen in RuPaul’s Drag Race: Towards a speech code of American drag queens. Sexuality &amp; Culture, 18(3), 630–648. https://doi.org/10.1007/s12119-013-9213-2</w:t>
      </w:r>
    </w:p>
    <w:p>
      <w:pPr>
        <w:spacing w:line="480" w:lineRule="auto" w:after="0"/>
        <w:ind w:left="720" w:hanging="720"/>
      </w:pPr>
      <w:r>
        <w:rPr>
          <w:rFonts w:ascii="Times New Roman" w:hAnsi="Times New Roman"/>
          <w:b w:val="0"/>
          <w:i w:val="0"/>
          <w:sz w:val="24"/>
        </w:rPr>
        <w:t>Wong, J. (2025). Ambivalences of trans recognition. Hypatia, 40(2), 269–289. https://www.cambridge.org/core/journals/hypatia</w:t>
      </w:r>
    </w:p>
    <w:p>
      <w:pPr>
        <w:spacing w:line="480" w:lineRule="auto" w:after="0"/>
        <w:ind w:left="720" w:hanging="720"/>
      </w:pPr>
      <w:r>
        <w:rPr>
          <w:rFonts w:ascii="Times New Roman" w:hAnsi="Times New Roman"/>
          <w:b w:val="0"/>
          <w:i w:val="0"/>
          <w:sz w:val="24"/>
        </w:rPr>
        <w:t>Zimman, L. (2020). Transgender language, transgender moment: Toward a trans linguistics. In K. Hall &amp; R. Barrett (Eds.), The Oxford handbook of language and sexuality. Oxford University Press.</w:t>
      </w:r>
    </w:p>
    <w:p>
      <w:pPr>
        <w:spacing w:line="480" w:lineRule="auto" w:after="0"/>
        <w:ind w:left="720" w:hanging="720"/>
      </w:pPr>
      <w:r>
        <w:rPr>
          <w:rFonts w:ascii="Times New Roman" w:hAnsi="Times New Roman"/>
          <w:b w:val="0"/>
          <w:i w:val="0"/>
          <w:sz w:val="24"/>
        </w:rPr>
        <w:t>Zimman, L. (2024). Cultivating trans linguistics. Gender and Language, 18(3). https://doi.org/10.3138/gl-2024-18.3-0001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