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TAIL-SF Manuscript — Summary of Changes Made</w:t>
      </w:r>
    </w:p>
    <w:p>
      <w:pPr>
        <w:jc w:val="center"/>
      </w:pPr>
      <w:r>
        <w:rPr>
          <w:i/>
          <w:sz w:val="20"/>
        </w:rPr>
        <w:t>Verification &amp; correction log. Each item below is a change applied to the document.</w:t>
      </w:r>
    </w:p>
    <w:p/>
    <w:p>
      <w:r>
        <w:rPr>
          <w:b/>
          <w:color w:val="1F4E79"/>
          <w:sz w:val="30"/>
        </w:rPr>
        <w:t>A. Citation and source-accuracy corrections</w:t>
      </w:r>
    </w:p>
    <w:p>
      <w:pPr>
        <w:spacing w:after="80"/>
      </w:pPr>
      <w:r>
        <w:t>Each verified against primary sources via web research.</w:t>
      </w:r>
    </w:p>
    <w:p>
      <w:r>
        <w:rPr>
          <w:b/>
          <w:color w:val="333333"/>
          <w:sz w:val="23"/>
        </w:rPr>
        <w:t>A1. UNESCO guidance — "five domains" mischaracterised</w:t>
      </w:r>
    </w:p>
    <w:p>
      <w:pPr>
        <w:spacing w:after="40"/>
      </w:pPr>
      <w:r>
        <w:rPr>
          <w:b/>
        </w:rPr>
        <w:t xml:space="preserve">Location: </w:t>
      </w:r>
      <w:r>
        <w:t>§II.A (Defining AI Literacy)</w:t>
      </w:r>
    </w:p>
    <w:p>
      <w:pPr>
        <w:spacing w:after="20"/>
        <w:ind w:left="360"/>
      </w:pPr>
      <w:r>
        <w:rPr>
          <w:b/>
          <w:color w:val="B03030"/>
        </w:rPr>
        <w:t xml:space="preserve">Was:  </w:t>
      </w:r>
      <w:r>
        <w:t>"The 2023 framework, updated in 2025, articulates expectations across five domains: ensuring inclusion and equity…"</w:t>
      </w:r>
    </w:p>
    <w:p>
      <w:pPr>
        <w:spacing w:after="160"/>
        <w:ind w:left="360"/>
      </w:pPr>
      <w:r>
        <w:rPr>
          <w:b/>
          <w:color w:val="1F7A33"/>
        </w:rPr>
        <w:t xml:space="preserve">Now: </w:t>
      </w:r>
      <w:r>
        <w:t>"The guidance (2023, with a 2025 edition) sets out key steps for governments and institutions to regulate generative AI and addresses concerns directly relevant to teachers, including…" (the guidance is structured as 8 challenges + 7 steps, not five named domains).</w:t>
      </w:r>
    </w:p>
    <w:p>
      <w:r>
        <w:rPr>
          <w:b/>
          <w:color w:val="333333"/>
          <w:sz w:val="23"/>
        </w:rPr>
        <w:t>A2. Ng et al. [4] — four-domain labels were wrong</w:t>
      </w:r>
    </w:p>
    <w:p>
      <w:pPr>
        <w:spacing w:after="40"/>
      </w:pPr>
      <w:r>
        <w:rPr>
          <w:b/>
        </w:rPr>
        <w:t xml:space="preserve">Location: </w:t>
      </w:r>
      <w:r>
        <w:t>§II.A</w:t>
      </w:r>
    </w:p>
    <w:p>
      <w:pPr>
        <w:spacing w:after="20"/>
        <w:ind w:left="360"/>
      </w:pPr>
      <w:r>
        <w:rPr>
          <w:b/>
          <w:color w:val="B03030"/>
        </w:rPr>
        <w:t xml:space="preserve">Was:  </w:t>
      </w:r>
      <w:r>
        <w:t>"…a four-domain construct: knowing and understanding AI, applying AI, evaluating AI, and AI ethics."</w:t>
      </w:r>
    </w:p>
    <w:p>
      <w:pPr>
        <w:spacing w:after="160"/>
        <w:ind w:left="360"/>
      </w:pPr>
      <w:r>
        <w:rPr>
          <w:b/>
          <w:color w:val="1F7A33"/>
        </w:rPr>
        <w:t xml:space="preserve">Now: </w:t>
      </w:r>
      <w:r>
        <w:t>"…through affective, behavioural, cognitive, and ethical dimensions, with the cognitive dimension itself spanning knowing/understanding, applying, and evaluating." (The validated model is ABCE; know/apply/evaluate are sub-parts of the Cognitive factor.)</w:t>
      </w:r>
    </w:p>
    <w:p>
      <w:r>
        <w:rPr>
          <w:b/>
          <w:color w:val="333333"/>
          <w:sz w:val="23"/>
        </w:rPr>
        <w:t>A3. Ng et al. [4] — model descriptor</w:t>
      </w:r>
    </w:p>
    <w:p>
      <w:pPr>
        <w:spacing w:after="40"/>
      </w:pPr>
      <w:r>
        <w:rPr>
          <w:b/>
        </w:rPr>
        <w:t xml:space="preserve">Location: </w:t>
      </w:r>
      <w:r>
        <w:t>§II.B</w:t>
      </w:r>
    </w:p>
    <w:p>
      <w:pPr>
        <w:spacing w:after="20"/>
        <w:ind w:left="360"/>
      </w:pPr>
      <w:r>
        <w:rPr>
          <w:b/>
          <w:color w:val="B03030"/>
        </w:rPr>
        <w:t xml:space="preserve">Was:  </w:t>
      </w:r>
      <w:r>
        <w:t>"…across the four-domain model [4]."</w:t>
      </w:r>
    </w:p>
    <w:p>
      <w:pPr>
        <w:spacing w:after="160"/>
        <w:ind w:left="360"/>
      </w:pPr>
      <w:r>
        <w:rPr>
          <w:b/>
          <w:color w:val="1F7A33"/>
        </w:rPr>
        <w:t xml:space="preserve">Now: </w:t>
      </w:r>
      <w:r>
        <w:t>"…across the four-factor model [4]."</w:t>
      </w:r>
    </w:p>
    <w:p>
      <w:r>
        <w:rPr>
          <w:b/>
          <w:color w:val="333333"/>
          <w:sz w:val="23"/>
        </w:rPr>
        <w:t>A4. Hornberger et al. [5] — wrong acronym and population in body text</w:t>
      </w:r>
    </w:p>
    <w:p>
      <w:pPr>
        <w:spacing w:after="40"/>
      </w:pPr>
      <w:r>
        <w:rPr>
          <w:b/>
        </w:rPr>
        <w:t xml:space="preserve">Location: </w:t>
      </w:r>
      <w:r>
        <w:t>§II.B</w:t>
      </w:r>
    </w:p>
    <w:p>
      <w:pPr>
        <w:spacing w:after="20"/>
        <w:ind w:left="360"/>
      </w:pPr>
      <w:r>
        <w:rPr>
          <w:b/>
          <w:color w:val="B03030"/>
        </w:rPr>
        <w:t xml:space="preserve">Was:  </w:t>
      </w:r>
      <w:r>
        <w:t>"…developed a short AI Literacy Test (AILIT) for the general public…"</w:t>
      </w:r>
    </w:p>
    <w:p>
      <w:pPr>
        <w:spacing w:after="160"/>
        <w:ind w:left="360"/>
      </w:pPr>
      <w:r>
        <w:rPr>
          <w:b/>
          <w:color w:val="1F7A33"/>
        </w:rPr>
        <w:t xml:space="preserve">Now: </w:t>
      </w:r>
      <w:r>
        <w:t>"…developed a short AI literacy test (AILIT-S) for university students…" (now matches the reference list).</w:t>
      </w:r>
    </w:p>
    <w:p>
      <w:r>
        <w:rPr>
          <w:b/>
          <w:color w:val="333333"/>
          <w:sz w:val="23"/>
        </w:rPr>
        <w:t>A5. Fabricated disclosure statistic removed</w:t>
      </w:r>
    </w:p>
    <w:p>
      <w:pPr>
        <w:spacing w:after="40"/>
      </w:pPr>
      <w:r>
        <w:rPr>
          <w:b/>
        </w:rPr>
        <w:t xml:space="preserve">Location: </w:t>
      </w:r>
      <w:r>
        <w:t>§II.D (cited to OECD [16])</w:t>
      </w:r>
    </w:p>
    <w:p>
      <w:pPr>
        <w:spacing w:after="20"/>
        <w:ind w:left="360"/>
      </w:pPr>
      <w:r>
        <w:rPr>
          <w:b/>
          <w:color w:val="B03030"/>
        </w:rPr>
        <w:t xml:space="preserve">Was:  </w:t>
      </w:r>
      <w:r>
        <w:t>"…studies report that fewer than 30% of teachers consistently disclose AI use to students or attribute AI assistance in shared materials [16]."</w:t>
      </w:r>
    </w:p>
    <w:p>
      <w:pPr>
        <w:spacing w:after="160"/>
        <w:ind w:left="360"/>
      </w:pPr>
      <w:r>
        <w:rPr>
          <w:b/>
          <w:color w:val="1F7A33"/>
        </w:rPr>
        <w:t xml:space="preserve">Now: </w:t>
      </w:r>
      <w:r>
        <w:t>"…clear norms for disclosing or attributing AI assistance in shared materials remain at an early and emerging stage rather than being consistently established [16]." (The "&lt;30%" figure is not in OECD DEO 2023 and has no traceable source.)</w:t>
      </w:r>
    </w:p>
    <w:p>
      <w:r>
        <w:rPr>
          <w:b/>
          <w:color w:val="333333"/>
          <w:sz w:val="23"/>
        </w:rPr>
        <w:t>A6. Citation–claim mismatch (Bond et al. [17])</w:t>
      </w:r>
    </w:p>
    <w:p>
      <w:pPr>
        <w:spacing w:after="40"/>
      </w:pPr>
      <w:r>
        <w:rPr>
          <w:b/>
        </w:rPr>
        <w:t xml:space="preserve">Location: </w:t>
      </w:r>
      <w:r>
        <w:t>§II.D</w:t>
      </w:r>
    </w:p>
    <w:p>
      <w:pPr>
        <w:spacing w:after="20"/>
        <w:ind w:left="360"/>
      </w:pPr>
      <w:r>
        <w:rPr>
          <w:b/>
          <w:color w:val="B03030"/>
        </w:rPr>
        <w:t xml:space="preserve">Was:  </w:t>
      </w:r>
      <w:r>
        <w:t>Empirical predictor claim ("perceived usefulness and self-efficacy… weakly by formal training hours") attributed to [17], a higher-education meta-review that contains no such finding.</w:t>
      </w:r>
    </w:p>
    <w:p>
      <w:pPr>
        <w:spacing w:after="160"/>
        <w:ind w:left="360"/>
      </w:pPr>
      <w:r>
        <w:rPr>
          <w:b/>
          <w:color w:val="1F7A33"/>
        </w:rPr>
        <w:t xml:space="preserve">Now: </w:t>
      </w:r>
      <w:r>
        <w:t>Predictor claim reattributed to Kong et al. [7] (extended TAM); [17] now cited only for its actual call for ethics, collaboration, rigour and beyond-Global-North evidence.</w:t>
      </w:r>
    </w:p>
    <w:p>
      <w:r>
        <w:rPr>
          <w:b/>
          <w:color w:val="333333"/>
          <w:sz w:val="23"/>
        </w:rPr>
        <w:t>A7. Sri Lanka student count overstated</w:t>
      </w:r>
    </w:p>
    <w:p>
      <w:pPr>
        <w:spacing w:after="40"/>
      </w:pPr>
      <w:r>
        <w:rPr>
          <w:b/>
        </w:rPr>
        <w:t xml:space="preserve">Location: </w:t>
      </w:r>
      <w:r>
        <w:t>§II.E</w:t>
      </w:r>
    </w:p>
    <w:p>
      <w:pPr>
        <w:spacing w:after="20"/>
        <w:ind w:left="360"/>
      </w:pPr>
      <w:r>
        <w:rPr>
          <w:b/>
          <w:color w:val="B03030"/>
        </w:rPr>
        <w:t xml:space="preserve">Was:  </w:t>
      </w:r>
      <w:r>
        <w:t>"…serves approximately 4.2 million students across roughly 10,000 government, private, and international schools [18]."</w:t>
      </w:r>
    </w:p>
    <w:p>
      <w:pPr>
        <w:spacing w:after="160"/>
        <w:ind w:left="360"/>
      </w:pPr>
      <w:r>
        <w:rPr>
          <w:b/>
          <w:color w:val="1F7A33"/>
        </w:rPr>
        <w:t xml:space="preserve">Now: </w:t>
      </w:r>
      <w:r>
        <w:t>"…serves approximately 4.0 million students across more than 10,000 government schools, with additional private, international, and Pirivena schools [18]." (2023 census: ~3.88M government-school students.)</w:t>
      </w:r>
    </w:p>
    <w:p>
      <w:r>
        <w:br w:type="page"/>
      </w:r>
    </w:p>
    <w:p>
      <w:r>
        <w:rPr>
          <w:b/>
          <w:color w:val="1F4E79"/>
          <w:sz w:val="30"/>
        </w:rPr>
        <w:t>B. Internal arithmetic / consistency corrections</w:t>
      </w:r>
    </w:p>
    <w:p>
      <w:r>
        <w:rPr>
          <w:b/>
          <w:color w:val="333333"/>
          <w:sz w:val="23"/>
        </w:rPr>
        <w:t>B1. Split-sample sizes did not sum to N</w:t>
      </w:r>
    </w:p>
    <w:p>
      <w:pPr>
        <w:spacing w:after="40"/>
      </w:pPr>
      <w:r>
        <w:rPr>
          <w:b/>
        </w:rPr>
        <w:t xml:space="preserve">Location: </w:t>
      </w:r>
      <w:r>
        <w:t>Abstract, §III.C, §IV.B, Fig. 4 caption, Table II caption, §V.C (9 places)</w:t>
      </w:r>
    </w:p>
    <w:p>
      <w:pPr>
        <w:spacing w:after="20"/>
        <w:ind w:left="360"/>
      </w:pPr>
      <w:r>
        <w:rPr>
          <w:b/>
          <w:color w:val="B03030"/>
        </w:rPr>
        <w:t xml:space="preserve">Was:  </w:t>
      </w:r>
      <w:r>
        <w:t>N_A = 182 and N_B = 182 (182 + 182 = 364 ≠ 362).</w:t>
      </w:r>
    </w:p>
    <w:p>
      <w:pPr>
        <w:spacing w:after="160"/>
        <w:ind w:left="360"/>
      </w:pPr>
      <w:r>
        <w:rPr>
          <w:b/>
          <w:color w:val="1F7A33"/>
        </w:rPr>
        <w:t xml:space="preserve">Now: </w:t>
      </w:r>
      <w:r>
        <w:t>N_A = 181 and N_B = 181 (= 362).</w:t>
      </w:r>
    </w:p>
    <w:p>
      <w:r>
        <w:rPr>
          <w:b/>
          <w:color w:val="333333"/>
          <w:sz w:val="23"/>
        </w:rPr>
        <w:t>B2. Cronbach’s α range understated</w:t>
      </w:r>
    </w:p>
    <w:p>
      <w:pPr>
        <w:spacing w:after="40"/>
      </w:pPr>
      <w:r>
        <w:rPr>
          <w:b/>
        </w:rPr>
        <w:t xml:space="preserve">Location: </w:t>
      </w:r>
      <w:r>
        <w:t>Abstract</w:t>
      </w:r>
    </w:p>
    <w:p>
      <w:pPr>
        <w:spacing w:after="20"/>
        <w:ind w:left="360"/>
      </w:pPr>
      <w:r>
        <w:rPr>
          <w:b/>
          <w:color w:val="B03030"/>
        </w:rPr>
        <w:t xml:space="preserve">Was:  </w:t>
      </w:r>
      <w:r>
        <w:t>Cronbach’s α = .76 to .91</w:t>
      </w:r>
    </w:p>
    <w:p>
      <w:pPr>
        <w:spacing w:after="160"/>
        <w:ind w:left="360"/>
      </w:pPr>
      <w:r>
        <w:rPr>
          <w:b/>
          <w:color w:val="1F7A33"/>
        </w:rPr>
        <w:t xml:space="preserve">Now: </w:t>
      </w:r>
      <w:r>
        <w:t>Cronbach’s α = .76 to .93 (Table I AI-Literacy overall = .93).</w:t>
      </w:r>
    </w:p>
    <w:p>
      <w:r>
        <w:rPr>
          <w:b/>
          <w:color w:val="333333"/>
          <w:sz w:val="23"/>
        </w:rPr>
        <w:t>B3. KMO descriptor mislabelled</w:t>
      </w:r>
    </w:p>
    <w:p>
      <w:pPr>
        <w:spacing w:after="40"/>
      </w:pPr>
      <w:r>
        <w:rPr>
          <w:b/>
        </w:rPr>
        <w:t xml:space="preserve">Location: </w:t>
      </w:r>
      <w:r>
        <w:t>§IV.B</w:t>
      </w:r>
    </w:p>
    <w:p>
      <w:pPr>
        <w:spacing w:after="20"/>
        <w:ind w:left="360"/>
      </w:pPr>
      <w:r>
        <w:rPr>
          <w:b/>
          <w:color w:val="B03030"/>
        </w:rPr>
        <w:t xml:space="preserve">Was:  </w:t>
      </w:r>
      <w:r>
        <w:t>KMO = .945, classified as "meritorious"</w:t>
      </w:r>
    </w:p>
    <w:p>
      <w:pPr>
        <w:spacing w:after="160"/>
        <w:ind w:left="360"/>
      </w:pPr>
      <w:r>
        <w:rPr>
          <w:b/>
          <w:color w:val="1F7A33"/>
        </w:rPr>
        <w:t xml:space="preserve">Now: </w:t>
      </w:r>
      <w:r>
        <w:t>classified as "marvelous" (correct Kaiser-Rice band for .90+).</w:t>
      </w:r>
    </w:p>
    <w:p>
      <w:r>
        <w:rPr>
          <w:b/>
          <w:color w:val="1F4E79"/>
          <w:sz w:val="30"/>
        </w:rPr>
        <w:t>C. Correction found by re-running the analysis on the raw data</w:t>
      </w:r>
    </w:p>
    <w:p>
      <w:r>
        <w:rPr>
          <w:b/>
          <w:color w:val="333333"/>
          <w:sz w:val="23"/>
        </w:rPr>
        <w:t>C1. Explained Common Variance (ECV) was wrong — reverses the dimensionality conclusion</w:t>
      </w:r>
    </w:p>
    <w:p>
      <w:pPr>
        <w:spacing w:after="80"/>
      </w:pPr>
      <w:r>
        <w:t>Re-estimated in semopy (the paper’s own library) and an independent from-scratch ML CFA; both gave ECV ≈ 71% on the holdout (~80% full sample), not 17.2%. The general factor dominates, so the scale is essentially unidimensional with Ethics as the one distinct facet. The value appeared in the abstract, §IV.B (3 passages), §V.A, and §VI; all were revised.</w:t>
      </w:r>
    </w:p>
    <w:p>
      <w:pPr>
        <w:spacing w:after="40"/>
      </w:pPr>
      <w:r>
        <w:rPr>
          <w:b/>
        </w:rPr>
        <w:t xml:space="preserve">Location: </w:t>
      </w:r>
      <w:r>
        <w:t>Abstract / §IV.B / §V.A / §VI (5 passages)</w:t>
      </w:r>
    </w:p>
    <w:p>
      <w:pPr>
        <w:spacing w:after="20"/>
        <w:ind w:left="360"/>
      </w:pPr>
      <w:r>
        <w:rPr>
          <w:b/>
          <w:color w:val="B03030"/>
        </w:rPr>
        <w:t xml:space="preserve">Was:  </w:t>
      </w:r>
      <w:r>
        <w:t>"a bifactor decomposition (ECV = 17.2%) pointed to a multidimensional structure… not an indicator of a strongly general construct."</w:t>
      </w:r>
    </w:p>
    <w:p>
      <w:pPr>
        <w:spacing w:after="160"/>
        <w:ind w:left="360"/>
      </w:pPr>
      <w:r>
        <w:rPr>
          <w:b/>
          <w:color w:val="1F7A33"/>
        </w:rPr>
        <w:t xml:space="preserve">Now: </w:t>
      </w:r>
      <w:r>
        <w:t>"a bifactor decomposition (ECV ≈ 71%) indicated a dominant general factor consistent with essential unidimensionality… a robust general-factor composite," with Ethics retained as the clearest distinct sub-domain and the total-score recommendation preserved.</w:t>
      </w:r>
    </w:p>
    <w:p>
      <w:r>
        <w:rPr>
          <w:b/>
          <w:color w:val="1F4E79"/>
          <w:sz w:val="30"/>
        </w:rPr>
        <w:t>D. Figure correction</w:t>
      </w:r>
    </w:p>
    <w:p>
      <w:r>
        <w:rPr>
          <w:b/>
          <w:color w:val="333333"/>
          <w:sz w:val="23"/>
        </w:rPr>
        <w:t>D1. Fig. 4 (scree plot) regenerated from data</w:t>
      </w:r>
    </w:p>
    <w:p>
      <w:pPr>
        <w:spacing w:after="80"/>
      </w:pPr>
      <w:r>
        <w:t>The legend embedded "N_A = 182". The plot was regenerated from the dataset on the 181-case calibration subsample (item-mean imputation), with legend "N_A = 181". The one-factor conclusion is unchanged. EFA statistics in §IV.B were aligned to the regenerated figure:</w:t>
      </w:r>
    </w:p>
    <w:p>
      <w:pPr>
        <w:pStyle w:val="ListBullet"/>
        <w:spacing w:after="20"/>
      </w:pPr>
      <w:r>
        <w:rPr>
          <w:b/>
        </w:rPr>
        <w:t xml:space="preserve">KMO: </w:t>
      </w:r>
      <w:r>
        <w:t>.945  →  .948</w:t>
      </w:r>
    </w:p>
    <w:p>
      <w:pPr>
        <w:pStyle w:val="ListBullet"/>
        <w:spacing w:after="20"/>
      </w:pPr>
      <w:r>
        <w:rPr>
          <w:b/>
        </w:rPr>
        <w:t xml:space="preserve">Bartlett χ²: </w:t>
      </w:r>
      <w:r>
        <w:t>1468.0  →  1564.6</w:t>
      </w:r>
    </w:p>
    <w:p>
      <w:pPr>
        <w:pStyle w:val="ListBullet"/>
        <w:spacing w:after="20"/>
      </w:pPr>
      <w:r>
        <w:rPr>
          <w:b/>
        </w:rPr>
        <w:t xml:space="preserve">λ₁ / variance: </w:t>
      </w:r>
      <w:r>
        <w:t>8.14 / 45.2%  →  8.52 / 47.3%</w:t>
      </w:r>
    </w:p>
    <w:p>
      <w:pPr>
        <w:pStyle w:val="ListBullet"/>
        <w:spacing w:after="20"/>
      </w:pPr>
      <w:r>
        <w:rPr>
          <w:b/>
        </w:rPr>
        <w:t xml:space="preserve">λ₂, λ₃: </w:t>
      </w:r>
      <w:r>
        <w:t>1.21, 0.92  →  1.09, 0.89</w:t>
      </w:r>
    </w:p>
    <w:p>
      <w:pPr>
        <w:pStyle w:val="ListBullet"/>
        <w:spacing w:after="20"/>
      </w:pPr>
      <w:r>
        <w:rPr>
          <w:b/>
        </w:rPr>
        <w:t xml:space="preserve">PA threshold: </w:t>
      </w:r>
      <w:r>
        <w:t>1.60  →  1.48</w:t>
      </w:r>
    </w:p>
    <w:p>
      <w:pPr>
        <w:pStyle w:val="ListBullet"/>
        <w:spacing w:after="20"/>
      </w:pPr>
      <w:r>
        <w:rPr>
          <w:b/>
        </w:rPr>
        <w:t xml:space="preserve">1-factor loadings: </w:t>
      </w:r>
      <w:r>
        <w:t>.48–.72  →  .60–.75</w:t>
      </w:r>
    </w:p>
    <w:p>
      <w:pPr>
        <w:spacing w:after="80"/>
      </w:pPr>
      <w:r>
        <w:t>All other figures (1, 2, 3, 5, 6, 7) were audited and left unchanged — their embedded values match the verified data (e.g., Fig. 6 path coefficients, Fig. 5 loadings).</w:t>
      </w:r>
    </w:p>
    <w:p>
      <w:r>
        <w:rPr>
          <w:b/>
          <w:color w:val="1F4E79"/>
          <w:sz w:val="30"/>
        </w:rPr>
        <w:t>E. Checked and confirmed correct (no change made)</w:t>
      </w:r>
    </w:p>
    <w:p>
      <w:pPr>
        <w:pStyle w:val="ListBullet"/>
        <w:spacing w:after="40"/>
      </w:pPr>
      <w:r>
        <w:t>Table I — every Cronbach’s α, mean, and SD reproduced from raw data to within ±.01.</w:t>
      </w:r>
    </w:p>
    <w:p>
      <w:pPr>
        <w:pStyle w:val="ListBullet"/>
        <w:spacing w:after="40"/>
      </w:pPr>
      <w:r>
        <w:t>Demographics, school types, grade bands, AI-tool percentages — reproduced.</w:t>
      </w:r>
    </w:p>
    <w:p>
      <w:pPr>
        <w:pStyle w:val="ListBullet"/>
        <w:spacing w:after="40"/>
      </w:pPr>
      <w:r>
        <w:t>Full path model (Table III), H1, mediation, and the negative literacy×infrastructure moderation — reproduced.</w:t>
      </w:r>
    </w:p>
    <w:p>
      <w:pPr>
        <w:pStyle w:val="ListBullet"/>
        <w:spacing w:after="40"/>
      </w:pPr>
      <w:r>
        <w:t>CFA fit indices (Table II: χ²/df/CFI/TLI/RMSEA) — reproduced within split-noise.</w:t>
      </w:r>
    </w:p>
    <w:p>
      <w:pPr>
        <w:pStyle w:val="ListBullet"/>
        <w:spacing w:after="40"/>
      </w:pPr>
      <w:r>
        <w:t>SRMR (.108–.112) — my earlier "error" flag was withdrawn; semopy reproduces these values; no change.</w:t>
      </w:r>
    </w:p>
    <w:p>
      <w:pPr>
        <w:pStyle w:val="ListBullet"/>
        <w:spacing w:after="40"/>
      </w:pPr>
      <w:r>
        <w:t>Mediation indirect effects (.130/.112/.155) — an earlier "inconsistency" flag was a false alarm (single-mediator a-paths); confirmed correct, no change.</w:t>
      </w:r>
    </w:p>
    <w:p>
      <w:pPr>
        <w:pStyle w:val="ListBullet"/>
        <w:spacing w:after="40"/>
      </w:pPr>
      <w:r>
        <w:t>Verified-correct citations left intact: Long &amp; Magerko (17 competencies), Lintner (16 scales), Henseler HTMT .85, Hu &amp; Bentler cutoffs, Kock VIF 3.3, Celik, Dong, Kong, RAIS scale name.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