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“Rabbouni, Which Is to Say Teacher”:</w:t>
        <w:br/>
        <w:t>The Intensified Honorific ῥαββουνί Between Address and Acclamation</w:t>
      </w:r>
    </w:p>
    <w:p>
      <w:pPr>
        <w:pStyle w:val="Heading2"/>
      </w:pPr>
      <w:r>
        <w:rPr>
          <w:rFonts w:ascii="Times New Roman" w:hAnsi="Times New Roman"/>
          <w:color w:val="000000"/>
        </w:rPr>
        <w:t>Abstract</w:t>
      </w:r>
    </w:p>
    <w:p>
      <w:pPr>
        <w:spacing w:after="200"/>
        <w:jc w:val="both"/>
      </w:pPr>
      <w:r>
        <w:rPr>
          <w:i w:val="0"/>
          <w:sz w:val="24"/>
        </w:rPr>
        <w:t>The Aramaic honorific rabbouni (Greek ῥαββουνί / ῥαββουνεί) occurs only twice in the New Testament — on the lips of blind Bartimaeus (Mark 10:51) and of Mary Magdalene before the risen Jesus (John 20:16) — yet it has generated a disproportionate exegetical literature, because its sense hovers ambiguously between an ordinary “(my) teacher” and an elevated, quasi-divine “my Lord/Master.” This article reconstructs the term from its Proto-Semitic root R-B-B (“be great, be many”) through its Hebrew and Jewish Palestinian Aramaic developments, gives particular attention to the threefold vocalization rabbānî / rabbônî / rabbûnî and to the use of the cognate form ribbôn as a divine epithet (Ribbono shel Olam, “Master of the Universe”). It then situates the two Gospel occurrences within the spectrum of modern interpretation, from Raymond Brown’s “modest title” to Edwin Hoskyns’s reading of incipient confession, and engages two recent peer-reviewed interventions — Mark Verman’s argument that rabbouni functions as Markan “messianic code language,” and Elizabeth Schrader and Brandon Simonson’s text-critical case that some early witnesses gloss the word as “Lord” rather than “Teacher.” The article argues that the Evangelist’s own gloss (διδάσκαλε) anchors a minimalist lexical sense, but that the term’s documented use as a divine address supplies the semantic reservoir on which the Johannine recognition scene deliberately draws. The ambiguity, in other words, is not a problem to be resolved but a literary resource the Fourth Evangelist exploits.</w:t>
      </w:r>
    </w:p>
    <w:p>
      <w:pPr>
        <w:spacing w:after="280"/>
      </w:pPr>
      <w:r>
        <w:rPr>
          <w:b/>
        </w:rPr>
        <w:t xml:space="preserve">Keywords: </w:t>
      </w:r>
      <w:r>
        <w:t>Rabbouni; John 20:16; Mark 10:51; Mary Magdalene; Jewish Palestinian Aramaic; honorifics; christology; textual criticism</w:t>
      </w:r>
    </w:p>
    <w:p>
      <w:pPr>
        <w:pStyle w:val="Heading2"/>
      </w:pPr>
      <w:r>
        <w:rPr>
          <w:rFonts w:ascii="Times New Roman" w:hAnsi="Times New Roman"/>
          <w:color w:val="000000"/>
        </w:rPr>
        <w:t>1. Introduction</w:t>
      </w:r>
    </w:p>
    <w:p>
      <w:pPr>
        <w:spacing w:after="200"/>
        <w:ind w:firstLine="432"/>
        <w:jc w:val="both"/>
      </w:pPr>
      <w:r>
        <w:rPr>
          <w:i w:val="0"/>
          <w:sz w:val="24"/>
        </w:rPr>
        <w:t>Few single words in the Gospels have carried as much interpretive freight relative to their frequency as rabbouni. It appears exactly twice in the canonical New Testament. In Mark 10:51 the blind beggar Bartimaeus, asked what he wants, replies ῥαββουνί, ἵνα ἀναβλέψω (“Rabbouni, that I may see again”). In John 20:16 Mary Magdalene, having mistaken the risen Jesus for the gardener, turns at the sound of her name and answers ῥαββουνί — to which the Evangelist appends the gloss ὃ λέγεται διδάσκαλε (“which is to say, Teacher”). On any reading the word is an Aramaic term of personal address built on the Semitic vocabulary of greatness and mastery. The disputed question is one of register: does the suffixed, “heightened” form connote no more than the everyday relationship of a disciple to a respected teacher, or does it reach toward the language by which Jews addressed God?</w:t>
      </w:r>
    </w:p>
    <w:p>
      <w:pPr>
        <w:spacing w:after="200"/>
        <w:ind w:firstLine="432"/>
        <w:jc w:val="both"/>
      </w:pPr>
      <w:r>
        <w:rPr>
          <w:i w:val="0"/>
          <w:sz w:val="24"/>
        </w:rPr>
        <w:t>The stakes of this question are not merely lexical. In the Fourth Gospel the titles applied to Jesus form an ascending series, from the “Rabbi” of the first call narrative (John 1:38) to Thomas’s climactic confession “My Lord and my God” (John 20:28). Where on that scale Mary Magdalene’s rabbouni falls determines whether the first witness to the resurrection is portrayed as grasping or as failing to grasp the significance of what she sees. The word thus sits at the intersection of Semitic philology, New Testament textual criticism, Johannine christology, and — in recent scholarship — the history of Mary Magdalene’s reception and the recovery of women’s roles in early Christianity.</w:t>
      </w:r>
    </w:p>
    <w:p>
      <w:pPr>
        <w:spacing w:after="200"/>
        <w:ind w:firstLine="432"/>
        <w:jc w:val="both"/>
      </w:pPr>
      <w:r>
        <w:rPr>
          <w:i w:val="0"/>
          <w:sz w:val="24"/>
        </w:rPr>
        <w:t>This article proceeds in five movements. Section 2 reconstructs the root and morphology of the word. Section 3 treats its vocalization and its attested use as a divine epithet, which furnishes the crucial background for the interpretive debate. Section 4 examines the two Gospel occurrences and their text-critical complications. Section 5 maps the spectrum of modern interpretation and engages the two principal recent contributions. A concluding section argues that the term’s semantic openness is best understood as a deliberate literary resource rather than a difficulty to be dissolved.</w:t>
      </w:r>
    </w:p>
    <w:p>
      <w:pPr>
        <w:spacing w:after="200"/>
        <w:ind w:firstLine="432"/>
        <w:jc w:val="both"/>
      </w:pPr>
      <w:r>
        <w:rPr>
          <w:i w:val="0"/>
          <w:sz w:val="24"/>
        </w:rPr>
        <w:t>A methodological caveat is in order. Several of the primary lexica and a number of the secondary studies discussed below were consulted through bibliographic metadata and corroborating summaries rather than through continuous reading of the full text; points resting on such mediated access are marked as provisional in the notes, and the appended source-status statement records which items require verification against the original before formal citation.</w:t>
      </w:r>
    </w:p>
    <w:p>
      <w:pPr>
        <w:pStyle w:val="Heading2"/>
      </w:pPr>
      <w:r>
        <w:rPr>
          <w:rFonts w:ascii="Times New Roman" w:hAnsi="Times New Roman"/>
          <w:color w:val="000000"/>
        </w:rPr>
        <w:t>2. The root R-B-B and the morphology of rabbouni</w:t>
      </w:r>
    </w:p>
    <w:p>
      <w:pPr>
        <w:spacing w:after="200"/>
        <w:ind w:firstLine="432"/>
        <w:jc w:val="both"/>
      </w:pPr>
      <w:r>
        <w:rPr>
          <w:i w:val="0"/>
          <w:sz w:val="24"/>
        </w:rPr>
        <w:t>The entire family of words to which rabbouni belongs derives from the common Semitic triliteral root R-B-B, with the basic sense “to be much, many, or great.” The reconstructed Proto-Semitic etymon *rabb- yields a remarkably stable cognate set across the family: Akkadian rabû(m) “to be great” and rabû “great one, chief”; Ugaritic and Phoenician rb “great, chief,” as in the royal title mlk rb “great king”; Hebrew raḇ (רַב) “great, chief, master”; Aramaic and Syriac rabbā “great one, lord, teacher”; and Arabic rabb (رَبّ) “lord, master.” [1] The standard Hebrew lexicon of Brown, Driver, and Briggs lists the root רָבַב “be or become many, much” and explicitly aligns the Hebrew with Arabic rabba “to rear, increase” and rabb “lord, master,” placing the Northwest Semitic and Arabic reflexes within a single inherited paradigm. [2]</w:t>
      </w:r>
    </w:p>
    <w:p>
      <w:pPr>
        <w:spacing w:after="200"/>
        <w:ind w:firstLine="432"/>
        <w:jc w:val="both"/>
      </w:pPr>
      <w:r>
        <w:rPr>
          <w:i w:val="0"/>
          <w:sz w:val="24"/>
        </w:rPr>
        <w:t>It should be stressed that the relationship between Arabic rabb and the Hebrew–Aramaic forms is one of cognacy — shared descent from the common root — and not of borrowing in either direction. Popular and devotional sources occasionally describe one as derived from the other; the comparative evidence supports neither, but rather parallel inheritance. Whether the specifically theological use of Arabic rabb for God (as in the Qurʼanic rabb al-ʿālamīn, “Lord of the worlds,” Q 1:2) developed natively or was reinforced through contact with Aramaic and Syriac religious vocabulary is a separate and genuinely contested question, debated since Arthur Jeffery’s classic catalogue of Qurʼanic loanwords; the matter need not be adjudicated here, beyond noting that the root itself is uncontroversially shared. [3]</w:t>
      </w:r>
    </w:p>
    <w:p>
      <w:pPr>
        <w:spacing w:after="200"/>
        <w:ind w:firstLine="432"/>
        <w:jc w:val="both"/>
      </w:pPr>
      <w:r>
        <w:rPr>
          <w:i w:val="0"/>
          <w:sz w:val="24"/>
        </w:rPr>
        <w:t>From this root Hebrew forms raḇ “master, chief,” to which the first-person singular pronominal suffix -î (“my”) is appended to give rabbî (רַבִּי), literally “my master” and conventionally “my teacher.” Alongside the simple form stands an intensified or “heightened” form: Aramaic rabbān and its Hebrew counterpart rabbôn, “great one, master,” to which the same first-person suffix yields rabbônî / rabbûnî, “my great one, my master.” The terminal -î, in both rabbî and rabbûnî, is thus the ordinary Northwest Semitic possessive suffix; the difference between the two lies not in the suffix but in the base, the latter built on the expanded rabbān/rabbôn rather than on bare rab. [4]</w:t>
      </w:r>
    </w:p>
    <w:p>
      <w:pPr>
        <w:spacing w:after="200"/>
        <w:ind w:firstLine="432"/>
        <w:jc w:val="both"/>
      </w:pPr>
      <w:r>
        <w:rPr>
          <w:i w:val="0"/>
          <w:sz w:val="24"/>
        </w:rPr>
        <w:t>The native rabbinic tradition was itself conscious of a gradation among these titles. A dictum preserved in the standard reference literature ranks them: “greater than rab is rabbi, greater than rabbi is rabban, and greater than rabban is the bare personal name.” [5] The title rabban in particular was reserved, by tradition, for a small number of patriarchal heads of the academy — the nesīʼim of the house of Hillel. While this hierarchy is a schematization and should not be pressed as a description of first-century usage, it confirms that the form underlying rabbouni was felt within the tradition to be weightier than the everyday rabbi.</w:t>
      </w:r>
    </w:p>
    <w:p>
      <w:pPr>
        <w:pStyle w:val="Heading2"/>
      </w:pPr>
      <w:r>
        <w:rPr>
          <w:rFonts w:ascii="Times New Roman" w:hAnsi="Times New Roman"/>
          <w:color w:val="000000"/>
        </w:rPr>
        <w:t>3. Vocalization, rabbānî / rabbônî / rabbûnî, and the divine epithet</w:t>
      </w:r>
    </w:p>
    <w:p>
      <w:pPr>
        <w:spacing w:after="200"/>
        <w:ind w:firstLine="432"/>
        <w:jc w:val="both"/>
      </w:pPr>
      <w:r>
        <w:rPr>
          <w:i w:val="0"/>
          <w:sz w:val="24"/>
        </w:rPr>
        <w:t>The single most consequential philological observation for the interpretation of rabbouni concerns its vocalization, and here the most rigorous treatment available is a study circulated under the title “Rabbuni,” which argues that the original form was rabbānî and that rabbônî and rabbûnî are successive vocalic developments — effectively “corruptions” — of it. [6] The proposed trajectory runs /aː/ → /oː/ → /uː/: the first shift, rabbānî &gt; rabbônî, is held to be reflected in the Targumim, and the second, rabbônî &gt; rabbûnî, is argued from the evidence of Punic bilingual inscriptions. On this account the Greek transliteration ῥαββουνί, with its ου representing /uː/, captures the latest stage of the development.</w:t>
      </w:r>
    </w:p>
    <w:p>
      <w:pPr>
        <w:spacing w:after="200"/>
        <w:ind w:firstLine="432"/>
        <w:jc w:val="both"/>
      </w:pPr>
      <w:r>
        <w:rPr>
          <w:i w:val="0"/>
          <w:sz w:val="24"/>
        </w:rPr>
        <w:t>This vocalic spread is not an abstraction; it is documented in concrete manuscript readings. The traditional Jewish vocalization of the expanded form uses ḥiriq, giving ribbôn — the form embedded in the liturgical and rabbinic formula Ribbono shel Olam (רִבּוֹנוֹ שֶׁל עוֹלָם), “Master of the Universe.” But a pataḥ/qameṣ vocalization, rabbān-, is preserved in the Cairo Geniza fragments of the Palestinian Targum, in Targum Neofiti, and in Samaritan Aramaic. [7] Strikingly, the same a/o/u variation appears in the manuscripts of a single passage of the Mishnah: at Taʿanit 3:8, where Ḥoni the Circle-Drawer addresses God as ribbono shel olam, MS Kaufmann vocalizes rabbûnô and MS Parma rabbônô. The variation that distinguishes the Bartimaeus and Magdalene rabbouni from the liturgical ribbôn is therefore the same variation found within the textual transmission of an unambiguously divine address.</w:t>
      </w:r>
    </w:p>
    <w:p>
      <w:pPr>
        <w:spacing w:after="200"/>
        <w:ind w:firstLine="432"/>
        <w:jc w:val="both"/>
      </w:pPr>
      <w:r>
        <w:rPr>
          <w:i w:val="0"/>
          <w:sz w:val="24"/>
        </w:rPr>
        <w:t>This is the crux. In Jewish Palestinian Aramaic the suffixed form of this word could be used both of human superiors and of God. The lexical authority here is Sokoloff’s Dictionary of Jewish Palestinian Aramaic, which documents the relevant usages; Kutscher’s well-known comparison glossed rabban (as in Rabban Gamliel) as an honorific roughly equivalent to French monseigneur, “my lord.” [8] More pointedly, a survey of the relevant Genizah materials is reported to find some two dozen instances of the spelling רבוני, of which all but one are petitions addressed to God, frequently placed in the mouth of Moses. [9] At the same time, the same form is used of human beings — Targum Neofiti renders “my lord Abraham” at Genesis 24:27 with this very word — so the claim that the form is “almost exclusively” divine must be qualified: it was a term of high reverence applicable both to God and to exalted human masters. It is precisely this dual range that makes the word exegetically interesting.</w:t>
      </w:r>
    </w:p>
    <w:p>
      <w:pPr>
        <w:pStyle w:val="Heading2"/>
      </w:pPr>
      <w:r>
        <w:rPr>
          <w:rFonts w:ascii="Times New Roman" w:hAnsi="Times New Roman"/>
          <w:color w:val="000000"/>
        </w:rPr>
        <w:t>4. The two New Testament occurrences and their textual transmission</w:t>
      </w:r>
    </w:p>
    <w:p>
      <w:pPr>
        <w:pStyle w:val="Heading3"/>
      </w:pPr>
      <w:r>
        <w:rPr>
          <w:rFonts w:ascii="Times New Roman" w:hAnsi="Times New Roman"/>
          <w:color w:val="000000"/>
        </w:rPr>
        <w:t>4.1 Mark 10:51</w:t>
      </w:r>
    </w:p>
    <w:p>
      <w:pPr>
        <w:spacing w:after="200"/>
        <w:ind w:firstLine="432"/>
        <w:jc w:val="both"/>
      </w:pPr>
      <w:r>
        <w:rPr>
          <w:i w:val="0"/>
          <w:sz w:val="24"/>
        </w:rPr>
        <w:t>In the Markan healing of blind Bartimaeus, the petitioner’s address ῥαββουνί is conventionally understood as a respectful, even emphatic, “my master.” The textual transmission, however, is not uniform: a portion of the witnesses reads the simple ῥαββί (“rabbi”) in place of ῥαββουνί, which is why some modern English versions render “Rabbi” at Mark 10:51 while retaining “Rabboni” at John 20:16. The precise distribution of this variant across the uncial and minuscule witnesses should be checked against the apparatus of NA28/UBS5 before any firm claim is made; the present article notes only that the variant exists and that it bears on whether Mark and John independently preserve the heightened form. [10]</w:t>
      </w:r>
    </w:p>
    <w:p>
      <w:pPr>
        <w:spacing w:after="200"/>
        <w:ind w:firstLine="432"/>
        <w:jc w:val="both"/>
      </w:pPr>
      <w:r>
        <w:rPr>
          <w:i w:val="0"/>
          <w:sz w:val="24"/>
        </w:rPr>
        <w:t>A recent and deliberately revisionist reading of the Markan occurrence is offered by Mark Verman, who argues that rabbi/rabbouni was not in fact a current honorific in the early first century CE, and that Mark introduces the Aramaic term as a kind of “code language” charged with messianic connotation, consistent with the Gospel’s broader strategy of veiling Jesus’ identity. [11] The thesis is stimulating but stands against the more usual assumption that the title was in ordinary use; it is best characterized as a minority position that has not displaced the consensus.</w:t>
      </w:r>
    </w:p>
    <w:p>
      <w:pPr>
        <w:pStyle w:val="Heading3"/>
      </w:pPr>
      <w:r>
        <w:rPr>
          <w:rFonts w:ascii="Times New Roman" w:hAnsi="Times New Roman"/>
          <w:color w:val="000000"/>
        </w:rPr>
        <w:t>4.2 John 20:16</w:t>
      </w:r>
    </w:p>
    <w:p>
      <w:pPr>
        <w:spacing w:after="200"/>
        <w:ind w:firstLine="432"/>
        <w:jc w:val="both"/>
      </w:pPr>
      <w:r>
        <w:rPr>
          <w:i w:val="0"/>
          <w:sz w:val="24"/>
        </w:rPr>
        <w:t>The Johannine occurrence is the more theologically loaded. Mary Magdalene, weeping at the empty tomb and supposing the figure before her to be the gardener, is addressed by name — “Mary” — and turns, replying ῥαββουνί. The Evangelist immediately glosses the word for his Greek readers: ὃ λέγεται διδάσκαλε, “which is to say, Teacher.” Two features of the verse demand comment.</w:t>
      </w:r>
    </w:p>
    <w:p>
      <w:pPr>
        <w:spacing w:after="200"/>
        <w:ind w:firstLine="432"/>
        <w:jc w:val="both"/>
      </w:pPr>
      <w:r>
        <w:rPr>
          <w:i w:val="0"/>
          <w:sz w:val="24"/>
        </w:rPr>
        <w:t>First, the gloss itself. John uses the identical Greek word, διδάσκαλε (“Teacher”), to render both ῥαββί at John 1:38 and ῥαββουνί here at 20:16. On the face of it this is strong evidence that, for the Evangelist’s own purposes, the two forms are semantically equivalent: he flattens the heightened Aramaic form into the same Greek vocable he had used for the ordinary one. This is the principal text-internal argument for a minimalist reading of rabbouni (see §5).</w:t>
      </w:r>
    </w:p>
    <w:p>
      <w:pPr>
        <w:spacing w:after="200"/>
        <w:ind w:firstLine="432"/>
        <w:jc w:val="both"/>
      </w:pPr>
      <w:r>
        <w:rPr>
          <w:i w:val="0"/>
          <w:sz w:val="24"/>
        </w:rPr>
        <w:t>Second, the orthographic and substantive variants. The Greek spelling varies across the manuscripts among ῥαββουνί, ῥαββουνεί, and ῥαββωνί; the alternation between -ει and -ι is largely a matter of itacism, the merging of vowel qualities in Koine pronunciation, and some witnesses preserve the omega form ῥαββωνί, transmitted in part through the Latin tradition. [12] More significant is the claim, advanced by Elizabeth Schrader and Brandon Simonson, that certain early witnesses gloss ῥαββουνί not with διδάσκαλε (“Teacher”) but with κύριε / domine (“Lord”), and that the original Aramaic context supports rendering the word “Lord.” [13] On their reconstruction the dominant “Teacher” gloss is one reading among several in the early tradition, and they connect the variant to a broader pattern in which, they argue, scribes diminished the figure of Mary Magdalene. The specific manuscript and versional support for the “Lord” gloss should be verified in their article and its apparatus; the argument is contested among text critics, and the journal in which it appears, while peer-reviewed, is a specialist venue rather than one of the high-impact periodicals.</w:t>
      </w:r>
    </w:p>
    <w:p>
      <w:pPr>
        <w:pStyle w:val="Heading2"/>
      </w:pPr>
      <w:r>
        <w:rPr>
          <w:rFonts w:ascii="Times New Roman" w:hAnsi="Times New Roman"/>
          <w:color w:val="000000"/>
        </w:rPr>
        <w:t>5. The interpretive spectrum</w:t>
      </w:r>
    </w:p>
    <w:p>
      <w:pPr>
        <w:spacing w:after="200"/>
        <w:ind w:firstLine="432"/>
        <w:jc w:val="both"/>
      </w:pPr>
      <w:r>
        <w:rPr>
          <w:i w:val="0"/>
          <w:sz w:val="24"/>
        </w:rPr>
        <w:t>Modern interpretation of Mary’s rabbouni arranges itself along a spectrum from a deflationary to an exalted reading, with a broad center.</w:t>
      </w:r>
    </w:p>
    <w:p>
      <w:pPr>
        <w:spacing w:after="200"/>
        <w:ind w:firstLine="432"/>
        <w:jc w:val="both"/>
      </w:pPr>
      <w:r>
        <w:rPr>
          <w:i w:val="0"/>
          <w:sz w:val="24"/>
        </w:rPr>
        <w:t>At the deflationary end stands Raymond Brown, whose Anchor Bible commentary treats rabbouni as a “modest” title, “characteristic of the beginning of faith rather than of its culmination.” On Brown’s reading Mary, by reaching for the ministry-era title, betrays a misunderstanding: she imagines that the relationship of the days of Jesus’ public teaching can simply be resumed, an expectation that the ensuing command “Do not hold on to me” (20:17) corrects. [14] The title, that is, marks not the summit of resurrection faith but its first and still-imperfect stirring, far below the confession of Thomas eight days later.</w:t>
      </w:r>
    </w:p>
    <w:p>
      <w:pPr>
        <w:spacing w:after="200"/>
        <w:ind w:firstLine="432"/>
        <w:jc w:val="both"/>
      </w:pPr>
      <w:r>
        <w:rPr>
          <w:i w:val="0"/>
          <w:sz w:val="24"/>
        </w:rPr>
        <w:t>At the exalted end stands the reading associated with Edwin Hoskyns, for whom Mary’s rabbouni already signals her recognition of Jesus’ divinity. On this view the heightened form is chosen precisely because it carries, in its Jewish Aramaic background, the resonance of the address to God documented in §3. [15]</w:t>
      </w:r>
    </w:p>
    <w:p>
      <w:pPr>
        <w:spacing w:after="200"/>
        <w:ind w:firstLine="432"/>
        <w:jc w:val="both"/>
      </w:pPr>
      <w:r>
        <w:rPr>
          <w:i w:val="0"/>
          <w:sz w:val="24"/>
        </w:rPr>
        <w:t>Between these poles lies the center of gravity of contemporary commentary, which reads rabbouni as a respectful and deeply personal address — “my master, my teacher” — intensified by the possessive suffix into a term of intimacy and affection, yet falling short of the absolute κύριος/adonai. Rudolf Schnackenburg connects the recognition scene to the Good Shepherd discourse: Mary, hearing herself called by name, responds as one of the sheep who “know his voice” (John 10:3-4), so that rabbouni expresses belonging and true recognition rather than a fully articulated christological claim. [16] D. A. Carson and others in this middle range read the word as an honored-teacher title heightened to convey the warmest personal attachment.</w:t>
      </w:r>
    </w:p>
    <w:p>
      <w:pPr>
        <w:spacing w:after="200"/>
        <w:ind w:firstLine="432"/>
        <w:jc w:val="both"/>
      </w:pPr>
      <w:r>
        <w:rPr>
          <w:i w:val="0"/>
          <w:sz w:val="24"/>
        </w:rPr>
        <w:t>The two recent contributions discussed above — Verman on Mark, Schrader and Simonson on John — both pull against the center, though in different directions and on different grounds: Verman by loading the Markan term with messianic significance, Schrader and Simonson by recovering an early “Lord” gloss in John. Neither has displaced the consensus, but both have sharpened the question of how much weight the form can bear.</w:t>
      </w:r>
    </w:p>
    <w:p>
      <w:pPr>
        <w:spacing w:after="200"/>
        <w:ind w:firstLine="432"/>
        <w:jc w:val="both"/>
      </w:pPr>
      <w:r>
        <w:rPr>
          <w:i w:val="0"/>
          <w:sz w:val="24"/>
        </w:rPr>
        <w:t>The Magdalene occurrence has also become central to the feminist reception of the resurrection narratives, in which Mary’s role as first witness and “apostle to the apostles” (apostola apostolorum) is foregrounded; Jane Schaberg’s monograph is the landmark study, and Schrader’s text-critical work has become a focal point of renewed attention to the scribal transmission of texts concerning women. [17]</w:t>
      </w:r>
    </w:p>
    <w:p>
      <w:pPr>
        <w:pStyle w:val="Heading2"/>
      </w:pPr>
      <w:r>
        <w:rPr>
          <w:rFonts w:ascii="Times New Roman" w:hAnsi="Times New Roman"/>
          <w:color w:val="000000"/>
        </w:rPr>
        <w:t>6. Conclusion</w:t>
      </w:r>
    </w:p>
    <w:p>
      <w:pPr>
        <w:spacing w:after="200"/>
        <w:ind w:firstLine="432"/>
        <w:jc w:val="both"/>
      </w:pPr>
      <w:r>
        <w:rPr>
          <w:i w:val="0"/>
          <w:sz w:val="24"/>
        </w:rPr>
        <w:t>The philological evidence points firmly in one direction; the literary evidence points, just as firmly, in another; and the tension between them is the heart of the matter. Lexically, rabbouni is the suffixed, intensified form of the R-B-B honorific, “my master, my teacher,” and the Fourth Evangelist’s own gloss — rendering it with the same διδάσκαλε he had used for the ordinary “Rabbi” — establishes that, at the level of dictionary equivalence, he intends nothing more exalted than “Teacher.” A reading that makes Mary’s word a fully formed confession of divinity overreaches the text-internal evidence.</w:t>
      </w:r>
    </w:p>
    <w:p>
      <w:pPr>
        <w:spacing w:after="200"/>
        <w:ind w:firstLine="432"/>
        <w:jc w:val="both"/>
      </w:pPr>
      <w:r>
        <w:rPr>
          <w:i w:val="0"/>
          <w:sz w:val="24"/>
        </w:rPr>
        <w:t>And yet the same form, in the Jewish Palestinian Aramaic that the Evangelist explicitly invokes when he notes that Mary spoke “in Hebrew” (that is, in the Jewish vernacular), was a recognized way of addressing God — the ribbôn of Ribbono shel Olam, the rabbûnî of Ḥoni’s prayer in the manuscripts of Taʿanit 3:8. The word that means “Teacher” is also the word that means “my Lord.” The Evangelist need not have intended Mary to confess Jesus’ divinity in order to have chosen, for the climactic recognition scene of the resurrection, a term whose semantic reservoir includes precisely that address. On this reading the ambiguity is not a difficulty to be dissolved in favor of one pole or the other, but a literary resource: rabbouni is the hinge on which the Johannine ascent of titles turns from the “Rabbi” of the first call (1:38) toward the “My Lord and my God” of its final confession (20:28). Mary’s one Aramaic word holds both ends of that arc in suspension — which is perhaps why the Evangelist preserved it untranslated, and only then told his readers what it means.</w:t>
      </w:r>
    </w:p>
    <w:p>
      <w:r>
        <w:br w:type="page"/>
      </w:r>
    </w:p>
    <w:p>
      <w:pPr>
        <w:pStyle w:val="Heading2"/>
      </w:pPr>
      <w:r>
        <w:rPr>
          <w:rFonts w:ascii="Times New Roman" w:hAnsi="Times New Roman"/>
          <w:color w:val="000000"/>
        </w:rPr>
        <w:t>Notes</w:t>
      </w:r>
    </w:p>
    <w:p>
      <w:pPr>
        <w:spacing w:after="120"/>
      </w:pPr>
      <w:r>
        <w:rPr>
          <w:b/>
        </w:rPr>
        <w:t xml:space="preserve">1. </w:t>
      </w:r>
      <w:r>
        <w:rPr>
          <w:sz w:val="21"/>
        </w:rPr>
        <w:t>For the cognate set see the reconstruction of Proto-Semitic *rabb- “lord, owner, chief” (with the secondary sense “copious, plenty”) and the survey of reflexes in Akkadian, Ugaritic, Phoenician, Hebrew, Aramaic/Syriac, and Arabic. The Ugaritic mlk rb “great king” and the Akkadian rabû are standard; note, however, that Ugaritic rb is attested as “great/chief” of kings and officials and is not documented as a divine epithet.</w:t>
      </w:r>
    </w:p>
    <w:p>
      <w:pPr>
        <w:spacing w:after="120"/>
      </w:pPr>
      <w:r>
        <w:rPr>
          <w:b/>
        </w:rPr>
        <w:t xml:space="preserve">2. </w:t>
      </w:r>
      <w:r>
        <w:rPr>
          <w:sz w:val="21"/>
        </w:rPr>
        <w:t>Francis Brown, S. R. Driver, and C. A. Briggs, A Hebrew and English Lexicon of the Old Testament, s.v. רָבַב, “be or become many, much,” with cross-reference to Arabic rabba “rear, increase” and rabb “lord, master.”</w:t>
      </w:r>
    </w:p>
    <w:p>
      <w:pPr>
        <w:spacing w:after="120"/>
      </w:pPr>
      <w:r>
        <w:rPr>
          <w:b/>
        </w:rPr>
        <w:t xml:space="preserve">3. </w:t>
      </w:r>
      <w:r>
        <w:rPr>
          <w:sz w:val="21"/>
        </w:rPr>
        <w:t>Arthur Jeffery, The Foreign Vocabulary of the Qurʼān (1938; repr. Leiden: Brill, Texts and Studies on the Qurʼān 3). The native-development position appeals to the productive Arabic verb rabba/rabbā “to rear, nurture” and to the classical lexica (Lisān al-ʿArab, Lane). Whether Jeffery specifically lists rabb as a borrowing could not be confirmed for this study and is left open.</w:t>
      </w:r>
    </w:p>
    <w:p>
      <w:pPr>
        <w:spacing w:after="120"/>
      </w:pPr>
      <w:r>
        <w:rPr>
          <w:b/>
        </w:rPr>
        <w:t xml:space="preserve">4. </w:t>
      </w:r>
      <w:r>
        <w:rPr>
          <w:sz w:val="21"/>
        </w:rPr>
        <w:t>The analysis of -î as the first-person singular possessive and of rabbouni as the heightened/possessive form is standard; see the lexical entries cited in n. 2 above and the discussion in the study cited at n. 6. The reconstruction of the underlying Aramaic as rabbānî (the determined/emphatic rabbā plus the first-person suffix), “my great one, my teacher,” is that author’s.</w:t>
      </w:r>
    </w:p>
    <w:p>
      <w:pPr>
        <w:spacing w:after="120"/>
      </w:pPr>
      <w:r>
        <w:rPr>
          <w:b/>
        </w:rPr>
        <w:t xml:space="preserve">5. </w:t>
      </w:r>
      <w:r>
        <w:rPr>
          <w:sz w:val="21"/>
        </w:rPr>
        <w:t>The dictum is reproduced in McClintock and Strong, Cyclopaedia of Biblical, Theological, and Ecclesiastical Literature, s.vv. “Rabbi,” “Rabboni.” As a nineteenth-century digest the Cyclopaedia is reliable as a record of the rabbinic statement but is not itself modern critical scholarship.</w:t>
      </w:r>
    </w:p>
    <w:p>
      <w:pPr>
        <w:spacing w:after="120"/>
      </w:pPr>
      <w:r>
        <w:rPr>
          <w:b/>
        </w:rPr>
        <w:t xml:space="preserve">6. </w:t>
      </w:r>
      <w:r>
        <w:rPr>
          <w:sz w:val="21"/>
        </w:rPr>
        <w:t>D. M. Goldenberg (attribution provisional), “Rabbuni” (working paper, ca. 2016). The publication venue and date of this study could not be confirmed and are reported on the basis of the hosting directory and corroborating secondary discussion; the rabbānî-as-original reconstruction, the /aː/ → /oː/ → /uː/ trajectory, and the appeal to the Targumim and to Punic bilingual evidence are drawn from this study and from the secondary reports cited at nn. 7 and 9.</w:t>
      </w:r>
    </w:p>
    <w:p>
      <w:pPr>
        <w:spacing w:after="120"/>
      </w:pPr>
      <w:r>
        <w:rPr>
          <w:b/>
        </w:rPr>
        <w:t xml:space="preserve">7. </w:t>
      </w:r>
      <w:r>
        <w:rPr>
          <w:sz w:val="21"/>
        </w:rPr>
        <w:t>For the ḥiriq vocalization (ribbôn) versus the pataḥ/qameṣ vocalization (rabbān-) and its distribution across the Palestinian Targum Geniza fragments, Targum Neofiti, and Samaritan Aramaic, see the study cited at n. 6, as reported in the secondary literature. The Taʿanit 3:8 manuscript readings (MS Kaufmann rabbûnô; MS Parma rabbônô) are concrete and checkable against those manuscripts.</w:t>
      </w:r>
    </w:p>
    <w:p>
      <w:pPr>
        <w:spacing w:after="120"/>
      </w:pPr>
      <w:r>
        <w:rPr>
          <w:b/>
        </w:rPr>
        <w:t xml:space="preserve">8. </w:t>
      </w:r>
      <w:r>
        <w:rPr>
          <w:sz w:val="21"/>
        </w:rPr>
        <w:t>Michael Sokoloff, A Dictionary of Jewish Palestinian Aramaic of the Byzantine Period (Ramat-Gan: Bar-Ilan University Press; Baltimore: Johns Hopkins University Press). Y. Kutscher’s comparison of rabban to French monseigneur is cited via the secondary discussion at n. 6.</w:t>
      </w:r>
    </w:p>
    <w:p>
      <w:pPr>
        <w:spacing w:after="120"/>
      </w:pPr>
      <w:r>
        <w:rPr>
          <w:b/>
        </w:rPr>
        <w:t xml:space="preserve">9. </w:t>
      </w:r>
      <w:r>
        <w:rPr>
          <w:sz w:val="21"/>
        </w:rPr>
        <w:t>The Friedberg Genizah datum (some twenty-three instances of רבוני, all but one addressed to God) is reported in the scholarly discussion summarizing the study cited at n. 6. The counter-instance of Targum Neofiti at Genesis 24:27 (“my lord Abraham”) is noted in the same context and qualifies any claim that the form is exclusively divine.</w:t>
      </w:r>
    </w:p>
    <w:p>
      <w:pPr>
        <w:spacing w:after="120"/>
      </w:pPr>
      <w:r>
        <w:rPr>
          <w:b/>
        </w:rPr>
        <w:t xml:space="preserve">10. </w:t>
      </w:r>
      <w:r>
        <w:rPr>
          <w:sz w:val="21"/>
        </w:rPr>
        <w:t>The ῥαββί / ῥαββουνί variant at Mark 10:51 is noted in the text-critical literature; the specific witnesses were not verified for this study and should be checked against NA28/UBS5.</w:t>
      </w:r>
    </w:p>
    <w:p>
      <w:pPr>
        <w:spacing w:after="120"/>
      </w:pPr>
      <w:r>
        <w:rPr>
          <w:b/>
        </w:rPr>
        <w:t xml:space="preserve">11. </w:t>
      </w:r>
      <w:r>
        <w:rPr>
          <w:sz w:val="21"/>
        </w:rPr>
        <w:t>Mark Verman, “Jesus as ‘Rabbi/Rabbouni’ and Mark’s Use of Aramaic as Messianic Code Language,” Journal for the Study of the Historical Jesus 21.1-2 (2023): 1-34, DOI 10.1163/17455197-bja10018. JSHJ (Brill) is Scopus-indexed (Religious Studies Q1; the exact current-year quartile was not verified directly on Scimago for this study).</w:t>
      </w:r>
    </w:p>
    <w:p>
      <w:pPr>
        <w:spacing w:after="120"/>
      </w:pPr>
      <w:r>
        <w:rPr>
          <w:b/>
        </w:rPr>
        <w:t xml:space="preserve">12. </w:t>
      </w:r>
      <w:r>
        <w:rPr>
          <w:sz w:val="21"/>
        </w:rPr>
        <w:t>On the ῥαββουνί / ῥαββουνεί / ῥαββωνί spellings and the role of itacism, see the text-critical discussions in the philological literature; the claim that ῥαββουνεί is the most frequently attested manuscript spelling is reported but not independently verified here.</w:t>
      </w:r>
    </w:p>
    <w:p>
      <w:pPr>
        <w:spacing w:after="120"/>
      </w:pPr>
      <w:r>
        <w:rPr>
          <w:b/>
        </w:rPr>
        <w:t xml:space="preserve">13. </w:t>
      </w:r>
      <w:r>
        <w:rPr>
          <w:sz w:val="21"/>
        </w:rPr>
        <w:t>Elizabeth Schrader (Polczer) and Brandon Simonson, “‘Rabbouni,’ Which Means Lord: Narrative Variants in John 20:16,” TC: A Journal of Biblical Textual Criticism 26 (2021): 133-154 (DOI 10.15699/tc.26.2021.04, reported from the publisher URL and not independently confirmed). TC is a peer-reviewed open-access journal of the SBL Press / Scholarly Publishing Collective; it is not Scopus-indexed, and no quartile applies.</w:t>
      </w:r>
    </w:p>
    <w:p>
      <w:pPr>
        <w:spacing w:after="120"/>
      </w:pPr>
      <w:r>
        <w:rPr>
          <w:b/>
        </w:rPr>
        <w:t xml:space="preserve">14. </w:t>
      </w:r>
      <w:r>
        <w:rPr>
          <w:sz w:val="21"/>
        </w:rPr>
        <w:t>Raymond E. Brown, The Gospel According to John (XIII–XXI), Anchor Bible 29A (Garden City, NY: Doubleday). The characterization of rabbouni as “modest” and “characteristic of the beginning of faith rather than of its culmination” is widely attributed to Brown’s discussion of 20:16; the exact page should be confirmed against the commentary.</w:t>
      </w:r>
    </w:p>
    <w:p>
      <w:pPr>
        <w:spacing w:after="120"/>
      </w:pPr>
      <w:r>
        <w:rPr>
          <w:b/>
        </w:rPr>
        <w:t xml:space="preserve">15. </w:t>
      </w:r>
      <w:r>
        <w:rPr>
          <w:sz w:val="21"/>
        </w:rPr>
        <w:t>Edwin C. Hoskyns, The Fourth Gospel, ed. F. N. Davey (London: Faber &amp; Faber). Hoskyns’s reading that Mary’s address signals recognition of Jesus’ divinity is reported in the secondary literature; the precise wording should be confirmed against the commentary.</w:t>
      </w:r>
    </w:p>
    <w:p>
      <w:pPr>
        <w:spacing w:after="120"/>
      </w:pPr>
      <w:r>
        <w:rPr>
          <w:b/>
        </w:rPr>
        <w:t xml:space="preserve">16. </w:t>
      </w:r>
      <w:r>
        <w:rPr>
          <w:sz w:val="21"/>
        </w:rPr>
        <w:t>Rudolf Schnackenburg, The Gospel According to St John, vol. 3 (the recognition-by-voice link to John 10:3-4). C. K. Barrett, The Gospel According to St John, 2nd ed. (London: SPCK; Philadelphia: Westminster), is the other standard commentary regularly cited on the verse; his precise position on the force of rabbouni was not retrieved for this study.</w:t>
      </w:r>
    </w:p>
    <w:p>
      <w:pPr>
        <w:spacing w:after="120"/>
      </w:pPr>
      <w:r>
        <w:rPr>
          <w:b/>
        </w:rPr>
        <w:t xml:space="preserve">17. </w:t>
      </w:r>
      <w:r>
        <w:rPr>
          <w:sz w:val="21"/>
        </w:rPr>
        <w:t>Jane Schaberg, The Resurrection of Mary Magdalene: Legends, Apocrypha, and the Christian Testament (New York: Continuum, 2002). On the scribal transmission of texts concerning Mary Magdalene see the work of Elizabeth Schrader Polczer cited at n. 13 and her related studies.</w:t>
      </w:r>
    </w:p>
    <w:p>
      <w:r>
        <w:br w:type="page"/>
      </w:r>
    </w:p>
    <w:p>
      <w:pPr>
        <w:pStyle w:val="Heading2"/>
      </w:pPr>
      <w:r>
        <w:rPr>
          <w:rFonts w:ascii="Times New Roman" w:hAnsi="Times New Roman"/>
          <w:color w:val="000000"/>
        </w:rPr>
        <w:t>Select Bibliography</w:t>
      </w:r>
    </w:p>
    <w:p>
      <w:pPr>
        <w:spacing w:after="120"/>
        <w:ind w:left="720" w:hanging="720"/>
      </w:pPr>
      <w:r>
        <w:rPr>
          <w:sz w:val="22"/>
        </w:rPr>
        <w:t>Barrett, C. K. The Gospel According to St John. 2nd ed. London: SPCK; Philadelphia: Westminster.</w:t>
      </w:r>
    </w:p>
    <w:p>
      <w:pPr>
        <w:spacing w:after="120"/>
        <w:ind w:left="720" w:hanging="720"/>
      </w:pPr>
      <w:r>
        <w:rPr>
          <w:sz w:val="22"/>
        </w:rPr>
        <w:t>Brown, Francis, S. R. Driver, and C. A. Briggs. A Hebrew and English Lexicon of the Old Testament. Oxford: Clarendon.</w:t>
      </w:r>
    </w:p>
    <w:p>
      <w:pPr>
        <w:spacing w:after="120"/>
        <w:ind w:left="720" w:hanging="720"/>
      </w:pPr>
      <w:r>
        <w:rPr>
          <w:sz w:val="22"/>
        </w:rPr>
        <w:t>Brown, Raymond E. The Gospel According to John (XIII–XXI). Anchor Bible 29A. Garden City, NY: Doubleday.</w:t>
      </w:r>
    </w:p>
    <w:p>
      <w:pPr>
        <w:spacing w:after="120"/>
        <w:ind w:left="720" w:hanging="720"/>
      </w:pPr>
      <w:r>
        <w:rPr>
          <w:sz w:val="22"/>
        </w:rPr>
        <w:t>Hoskyns, Edwin C. The Fourth Gospel. Edited by F. N. Davey. London: Faber &amp; Faber.</w:t>
      </w:r>
    </w:p>
    <w:p>
      <w:pPr>
        <w:spacing w:after="120"/>
        <w:ind w:left="720" w:hanging="720"/>
      </w:pPr>
      <w:r>
        <w:rPr>
          <w:sz w:val="22"/>
        </w:rPr>
        <w:t>Jeffery, Arthur. The Foreign Vocabulary of the Qurʼān. 1938. Reprint, Leiden: Brill (Texts and Studies on the Qurʼān 3).</w:t>
      </w:r>
    </w:p>
    <w:p>
      <w:pPr>
        <w:spacing w:after="120"/>
        <w:ind w:left="720" w:hanging="720"/>
      </w:pPr>
      <w:r>
        <w:rPr>
          <w:sz w:val="22"/>
        </w:rPr>
        <w:t>Kogan, Leonid. “A Complete Etymology-Based Hundred Wordlist of Semitic.” Journal of Language Relationship 3 (2010): 43–78.</w:t>
      </w:r>
    </w:p>
    <w:p>
      <w:pPr>
        <w:spacing w:after="120"/>
        <w:ind w:left="720" w:hanging="720"/>
      </w:pPr>
      <w:r>
        <w:rPr>
          <w:sz w:val="22"/>
        </w:rPr>
        <w:t>McClintock, John, and James Strong. Cyclopaedia of Biblical, Theological, and Ecclesiastical Literature. New York: Harper.</w:t>
      </w:r>
    </w:p>
    <w:p>
      <w:pPr>
        <w:spacing w:after="120"/>
        <w:ind w:left="720" w:hanging="720"/>
      </w:pPr>
      <w:r>
        <w:rPr>
          <w:sz w:val="22"/>
        </w:rPr>
        <w:t>Schaberg, Jane. The Resurrection of Mary Magdalene: Legends, Apocrypha, and the Christian Testament. New York: Continuum, 2002.</w:t>
      </w:r>
    </w:p>
    <w:p>
      <w:pPr>
        <w:spacing w:after="120"/>
        <w:ind w:left="720" w:hanging="720"/>
      </w:pPr>
      <w:r>
        <w:rPr>
          <w:sz w:val="22"/>
        </w:rPr>
        <w:t>Schnackenburg, Rudolf. The Gospel According to St John. Vol. 3. New York: Crossroad.</w:t>
      </w:r>
    </w:p>
    <w:p>
      <w:pPr>
        <w:spacing w:after="120"/>
        <w:ind w:left="720" w:hanging="720"/>
      </w:pPr>
      <w:r>
        <w:rPr>
          <w:sz w:val="22"/>
        </w:rPr>
        <w:t>Schrader, Elizabeth, and Brandon Simonson. “‘Rabbouni,’ Which Means Lord: Narrative Variants in John 20:16.” TC: A Journal of Biblical Textual Criticism 26 (2021): 133–154.</w:t>
      </w:r>
    </w:p>
    <w:p>
      <w:pPr>
        <w:spacing w:after="120"/>
        <w:ind w:left="720" w:hanging="720"/>
      </w:pPr>
      <w:r>
        <w:rPr>
          <w:sz w:val="22"/>
        </w:rPr>
        <w:t>Sokoloff, Michael. A Dictionary of Jewish Palestinian Aramaic of the Byzantine Period. Ramat-Gan: Bar-Ilan University Press; Baltimore: Johns Hopkins University Press.</w:t>
      </w:r>
    </w:p>
    <w:p>
      <w:pPr>
        <w:spacing w:after="120"/>
        <w:ind w:left="720" w:hanging="720"/>
      </w:pPr>
      <w:r>
        <w:rPr>
          <w:sz w:val="22"/>
        </w:rPr>
        <w:t>Verman, Mark. “Jesus as ‘Rabbi/Rabbouni’ and Mark’s Use of Aramaic as Messianic Code Language.” Journal for the Study of the Historical Jesus 21, nos. 1–2 (2023): 1–34. https://doi.org/10.1163/17455197-bja10018.</w:t>
      </w:r>
    </w:p>
    <w:p>
      <w:r>
        <w:br w:type="page"/>
      </w:r>
    </w:p>
    <w:p>
      <w:pPr>
        <w:pStyle w:val="Heading2"/>
      </w:pPr>
      <w:r>
        <w:rPr>
          <w:rFonts w:ascii="Times New Roman" w:hAnsi="Times New Roman"/>
          <w:color w:val="000000"/>
        </w:rPr>
        <w:t>Source-status statement (for the author, not for publication)</w:t>
      </w:r>
    </w:p>
    <w:p>
      <w:pPr>
        <w:spacing w:after="200"/>
        <w:jc w:val="both"/>
      </w:pPr>
      <w:r>
        <w:rPr>
          <w:i w:val="0"/>
          <w:sz w:val="24"/>
        </w:rPr>
        <w:t>This manuscript was drafted from a multi-source research process in which full-text retrieval of many sources was blocked, and bibliographic detail was corroborated through multiple independent search results rather than continuous reading. Before submission, the following should be verified directly against the originals:</w:t>
      </w:r>
    </w:p>
    <w:p>
      <w:pPr>
        <w:pStyle w:val="ListNumber"/>
      </w:pPr>
      <w:r>
        <w:rPr>
          <w:sz w:val="22"/>
        </w:rPr>
        <w:t>Verman (2023) — confirm DOI 10.1163/17455197-bja10018, pagination, and the current Scopus/Scimago quartile (high-confidence Q1, not directly seen).</w:t>
      </w:r>
    </w:p>
    <w:p>
      <w:pPr>
        <w:pStyle w:val="ListNumber"/>
      </w:pPr>
      <w:r>
        <w:rPr>
          <w:sz w:val="22"/>
        </w:rPr>
        <w:t>Schrader &amp; Simonson (2021) — confirm DOI 10.15699/tc.26.2021.04, pagination, and the specific manuscript/versional witnesses for the “Lord” gloss.</w:t>
      </w:r>
    </w:p>
    <w:p>
      <w:pPr>
        <w:pStyle w:val="ListNumber"/>
      </w:pPr>
      <w:r>
        <w:rPr>
          <w:sz w:val="22"/>
        </w:rPr>
        <w:t>The “Rabbuni” philological study (n. 6) — confirm authorship (provisionally D. M. Goldenberg), venue, and year; verify the Punic-inscription and Targumic arguments and the Friedberg Genizah count.</w:t>
      </w:r>
    </w:p>
    <w:p>
      <w:pPr>
        <w:pStyle w:val="ListNumber"/>
      </w:pPr>
      <w:r>
        <w:rPr>
          <w:sz w:val="22"/>
        </w:rPr>
        <w:t>Brown, Hoskyns, Schnackenburg, Barrett — supply exact page references; Barrett’s position was not retrieved.</w:t>
      </w:r>
    </w:p>
    <w:p>
      <w:pPr>
        <w:pStyle w:val="ListNumber"/>
      </w:pPr>
      <w:r>
        <w:rPr>
          <w:sz w:val="22"/>
        </w:rPr>
        <w:t>BDB, Sokoloff, Kutscher, TDNT (6:962, 982) — confirm exact wording and pagination from the printed lexica.</w:t>
      </w:r>
    </w:p>
    <w:p>
      <w:pPr>
        <w:pStyle w:val="ListNumber"/>
      </w:pPr>
      <w:r>
        <w:rPr>
          <w:sz w:val="22"/>
        </w:rPr>
        <w:t>Mishnah Taʿanit 3:8 — confirm the MS Kaufmann (rabbûnô) and MS Parma (rabbônô) vocalizations.</w:t>
      </w:r>
    </w:p>
    <w:p>
      <w:pPr>
        <w:pStyle w:val="ListNumber"/>
      </w:pPr>
      <w:r>
        <w:rPr>
          <w:sz w:val="22"/>
        </w:rPr>
        <w:t>Mark 10:51 — confirm the ῥαββί/ῥαββουνί witness distribution in NA28/UBS5.</w:t>
      </w:r>
    </w:p>
    <w:p>
      <w:pPr>
        <w:pStyle w:val="ListNumber"/>
      </w:pPr>
      <w:r>
        <w:rPr>
          <w:sz w:val="22"/>
        </w:rPr>
        <w:t>Jeffery / Qurʼanic rabb — confirm whether rabb is listed as a borrowing; the article currently leaves the question open.</w:t>
      </w:r>
    </w:p>
    <w:p>
      <w:pPr>
        <w:spacing w:after="0"/>
        <w:jc w:val="both"/>
      </w:pPr>
      <w:r>
        <w:rPr>
          <w:i w:val="0"/>
          <w:sz w:val="24"/>
        </w:rPr>
        <w:t>No quotation in the body should be presented as a verbatim citation until checked against its source; the phrases attributed to Brown and Hoskyns are reported characterizations pending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