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Agentic Artificial Intelligence in Education: A Narrative Review of Pedagogical Roles, Learning Outcomes, and Governance Challenges</w:t>
      </w:r>
    </w:p>
    <w:p>
      <w:pPr>
        <w:spacing w:after="40"/>
        <w:jc w:val="center"/>
      </w:pPr>
      <w:r>
        <w:rPr>
          <w:rFonts w:ascii="Times New Roman" w:cs="Times New Roman" w:eastAsia="Times New Roman" w:hAnsi="Times New Roman"/>
          <w:sz w:val="24"/>
          <w:szCs w:val="24"/>
        </w:rPr>
        <w:t xml:space="preserve">Author Name</w:t>
      </w:r>
      <w:r>
        <w:rPr>
          <w:rFonts w:ascii="Times New Roman" w:cs="Times New Roman" w:eastAsia="Times New Roman" w:hAnsi="Times New Roman"/>
          <w:sz w:val="24"/>
          <w:szCs w:val="24"/>
          <w:vertAlign w:val="superscript"/>
        </w:rPr>
        <w:t xml:space="preserve"> ¹*</w:t>
      </w:r>
    </w:p>
    <w:p>
      <w:pPr>
        <w:spacing w:after="200"/>
        <w:jc w:val="center"/>
      </w:pPr>
      <w:r>
        <w:rPr>
          <w:rFonts w:ascii="Times New Roman" w:cs="Times New Roman" w:eastAsia="Times New Roman" w:hAnsi="Times New Roman"/>
          <w:i/>
          <w:iCs/>
          <w:sz w:val="20"/>
          <w:szCs w:val="20"/>
        </w:rPr>
        <w:t xml:space="preserve">¹ Affiliation / Department, Institution, City, Country</w:t>
      </w:r>
      <w:r>
        <w:rPr>
          <w:rFonts w:ascii="Times New Roman" w:cs="Times New Roman" w:eastAsia="Times New Roman" w:hAnsi="Times New Roman"/>
          <w:i/>
          <w:iCs/>
          <w:sz w:val="20"/>
          <w:szCs w:val="20"/>
        </w:rPr>
        <w:t xml:space="preserve">
* Corresponding author: email@institution.edu</w:t>
      </w:r>
    </w:p>
    <w:p>
      <w:pPr>
        <w:pBdr>
          <w:top w:val="single" w:color="333333" w:sz="4"/>
        </w:pBdr>
        <w:spacing w:after="100" w:before="120"/>
      </w:pPr>
      <w:r>
        <w:rPr>
          <w:rFonts w:ascii="Times New Roman" w:cs="Times New Roman" w:eastAsia="Times New Roman" w:hAnsi="Times New Roman"/>
          <w:b/>
          <w:bCs/>
          <w:sz w:val="24"/>
          <w:szCs w:val="24"/>
        </w:rPr>
        <w:t xml:space="preserve">Abstract</w:t>
      </w:r>
    </w:p>
    <w:p>
      <w:pPr>
        <w:spacing w:after="120" w:line="300"/>
        <w:jc w:val="both"/>
      </w:pPr>
      <w:r>
        <w:rPr>
          <w:rFonts w:ascii="Times New Roman" w:cs="Times New Roman" w:eastAsia="Times New Roman" w:hAnsi="Times New Roman"/>
          <w:b/>
          <w:bCs/>
          <w:i/>
          <w:iCs/>
          <w:sz w:val="20"/>
          <w:szCs w:val="20"/>
        </w:rPr>
        <w:t xml:space="preserve">Background. </w:t>
      </w:r>
      <w:r>
        <w:rPr>
          <w:rFonts w:ascii="Times New Roman" w:cs="Times New Roman" w:eastAsia="Times New Roman" w:hAnsi="Times New Roman"/>
          <w:sz w:val="20"/>
          <w:szCs w:val="20"/>
        </w:rPr>
        <w:t xml:space="preserve">The 2024–2026 emergence of “agentic” artificial intelligence (AI)—autonomous systems that plan, use tools, retain memory, and pursue multi-step goals with limited human intervention—is reframing the role of AI in education beyond reactive generative chatbots and classical intelligent tutoring systems. </w:t>
      </w:r>
      <w:r>
        <w:rPr>
          <w:rFonts w:ascii="Times New Roman" w:cs="Times New Roman" w:eastAsia="Times New Roman" w:hAnsi="Times New Roman"/>
          <w:b/>
          <w:bCs/>
          <w:i/>
          <w:iCs/>
          <w:sz w:val="20"/>
          <w:szCs w:val="20"/>
        </w:rPr>
        <w:t xml:space="preserve">Objective. </w:t>
      </w:r>
      <w:r>
        <w:rPr>
          <w:rFonts w:ascii="Times New Roman" w:cs="Times New Roman" w:eastAsia="Times New Roman" w:hAnsi="Times New Roman"/>
          <w:sz w:val="20"/>
          <w:szCs w:val="20"/>
        </w:rPr>
        <w:t xml:space="preserve">This narrative review synthesises conceptual, empirical, and policy literature to characterise the pedagogical roles agentic AI now occupies, the evidence regarding its effect on learning outcomes, and the governance challenges its autonomy raises. </w:t>
      </w:r>
      <w:r>
        <w:rPr>
          <w:rFonts w:ascii="Times New Roman" w:cs="Times New Roman" w:eastAsia="Times New Roman" w:hAnsi="Times New Roman"/>
          <w:b/>
          <w:bCs/>
          <w:i/>
          <w:iCs/>
          <w:sz w:val="20"/>
          <w:szCs w:val="20"/>
        </w:rPr>
        <w:t xml:space="preserve">Methods. </w:t>
      </w:r>
      <w:r>
        <w:rPr>
          <w:rFonts w:ascii="Times New Roman" w:cs="Times New Roman" w:eastAsia="Times New Roman" w:hAnsi="Times New Roman"/>
          <w:sz w:val="20"/>
          <w:szCs w:val="20"/>
        </w:rPr>
        <w:t xml:space="preserve">A structured, non-systematic narrative synthesis of approximately forty peer-reviewed studies, preprints, and institutional policy instruments (2023–2026) was conducted across five thematic search angles. Load-bearing empirical claims were subjected to a three-vote adversarial verification protocol. </w:t>
      </w:r>
      <w:r>
        <w:rPr>
          <w:rFonts w:ascii="Times New Roman" w:cs="Times New Roman" w:eastAsia="Times New Roman" w:hAnsi="Times New Roman"/>
          <w:b/>
          <w:bCs/>
          <w:i/>
          <w:iCs/>
          <w:sz w:val="20"/>
          <w:szCs w:val="20"/>
        </w:rPr>
        <w:t xml:space="preserve">Results. </w:t>
      </w:r>
      <w:r>
        <w:rPr>
          <w:rFonts w:ascii="Times New Roman" w:cs="Times New Roman" w:eastAsia="Times New Roman" w:hAnsi="Times New Roman"/>
          <w:sz w:val="20"/>
          <w:szCs w:val="20"/>
        </w:rPr>
        <w:t xml:space="preserve">The literature converges on a defining dissociation: agentic and generative AI reliably improve immediate task output and learner engagement (e.g., effect sizes of d ≈ 0.73–1.3 in a controlled tutoring trial; pooled g ≈ 0.58), yet, when deployed without pedagogical guardrails, can depress retained learning, knowledge transfer, and self-regulation (e.g., a 17% post-removal exam decrement). Pedagogical deployments span tutor, teaching assistant, simulated peer, orchestrator, and simulation roles. Governance frameworks (UNESCO, the EU AI Act, OECD) are maturing but largely predate the agentic framing, leaving a recognised accountability gap. </w:t>
      </w:r>
      <w:r>
        <w:rPr>
          <w:rFonts w:ascii="Times New Roman" w:cs="Times New Roman" w:eastAsia="Times New Roman" w:hAnsi="Times New Roman"/>
          <w:b/>
          <w:bCs/>
          <w:i/>
          <w:iCs/>
          <w:sz w:val="20"/>
          <w:szCs w:val="20"/>
        </w:rPr>
        <w:t xml:space="preserve">Conclusion. </w:t>
      </w:r>
      <w:r>
        <w:rPr>
          <w:rFonts w:ascii="Times New Roman" w:cs="Times New Roman" w:eastAsia="Times New Roman" w:hAnsi="Times New Roman"/>
          <w:sz w:val="20"/>
          <w:szCs w:val="20"/>
        </w:rPr>
        <w:t xml:space="preserve">Responsible adoption depends on guardrailed, human-in-the-loop, teacher-mediated design. The evidence base remains young, heterogeneous, and quality-variable—underscored by a 2026 meta-analysis retraction—indicating an urgent need for longitudinal evidence and education-specific accountability frameworks. </w:t>
      </w:r>
    </w:p>
    <w:p>
      <w:pPr>
        <w:spacing w:after="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agentic AI; generative artificial intelligence; intelligent tutoring systems; multi-agent systems; learning outcomes; educational governance; AI ethics; human-in-the-loop</w:t>
      </w:r>
    </w:p>
    <w:p>
      <w:pPr>
        <w:pBdr>
          <w:bottom w:val="single" w:color="333333" w:sz="4"/>
        </w:pBdr>
        <w:spacing w:after="120"/>
      </w:pPr>
      <w:r>
        <w:rPr>
          <w:rFonts w:ascii="Times New Roman" w:cs="Times New Roman" w:eastAsia="Times New Roman" w:hAnsi="Times New Roman"/>
        </w:rPr>
        <w:t xml:space="preserve"/>
      </w:r>
    </w:p>
    <w:p>
      <w:pPr>
        <w:pStyle w:val="Heading1"/>
        <w:spacing w:after="140" w:before="280"/>
      </w:pPr>
      <w:r>
        <w:rPr>
          <w:rFonts w:ascii="Times New Roman" w:cs="Times New Roman" w:eastAsia="Times New Roman" w:hAnsi="Times New Roman"/>
          <w:b/>
          <w:bCs/>
          <w:sz w:val="26"/>
          <w:szCs w:val="26"/>
        </w:rPr>
        <w:t xml:space="preserve">1. Introduction</w:t>
      </w:r>
    </w:p>
    <w:p>
      <w:pPr>
        <w:spacing w:after="120" w:line="360"/>
        <w:ind w:firstLine="360"/>
        <w:jc w:val="both"/>
      </w:pPr>
      <w:r>
        <w:rPr>
          <w:rFonts w:ascii="Times New Roman" w:cs="Times New Roman" w:eastAsia="Times New Roman" w:hAnsi="Times New Roman"/>
        </w:rPr>
        <w:t xml:space="preserve">The integration of artificial intelligence into education has progressed through three broad phases: rule-based intelligent tutoring systems (ITS), conversational generative chatbots, and—most recently—agentic AI. Whereas a generative system produces content reactively in response to a prompt, an agentic system “sets an objective and executes multi-step workflows to reach it,” decomposing goals into sub-tasks, retaining context across steps, and autonomously invoking external tools such as web search or code execution (Kamalov et al., 2025). This shift from passive tool to proactive, goal-directed actor carries pedagogical promise and governance risk in equal measure.</w:t>
      </w:r>
    </w:p>
    <w:p>
      <w:pPr>
        <w:spacing w:after="120" w:line="360"/>
        <w:ind w:firstLine="360"/>
        <w:jc w:val="both"/>
      </w:pPr>
      <w:r>
        <w:rPr>
          <w:rFonts w:ascii="Times New Roman" w:cs="Times New Roman" w:eastAsia="Times New Roman" w:hAnsi="Times New Roman"/>
        </w:rPr>
        <w:t xml:space="preserve">The rapid diffusion of these systems—spanning autonomous tutors, virtual teaching assistants, and multi-agent simulations—has outpaced both the empirical evidence on their effects and the regulatory frameworks intended to govern them. Vendor adoption claims frequently exceed independently audited evidence, and the scholarly record, dominated by 2025–2026 preprints, exhibits notable quality variance. Against this backdrop, the present narrative review pursues three guiding questions: (RQ1) What conceptual features distinguish agentic AI from prior paradigms, and what pedagogical roles does it occupy? (RQ2) What does the empirical evidence indicate about its effect on learning outcomes? (RQ3) What governance, ethical, and equity challenges does its autonomy raise, and how well do existing frameworks address them?</w:t>
      </w:r>
    </w:p>
    <w:p>
      <w:pPr>
        <w:spacing w:after="120" w:line="360"/>
        <w:ind w:firstLine="360"/>
        <w:jc w:val="both"/>
      </w:pPr>
      <w:r>
        <w:rPr>
          <w:rFonts w:ascii="Times New Roman" w:cs="Times New Roman" w:eastAsia="Times New Roman" w:hAnsi="Times New Roman"/>
        </w:rPr>
        <w:t xml:space="preserve">A narrative (rather than systematic) review is appropriate here because the field is nascent, terminologically unsettled, and spread across heterogeneous source types—conditions under which interpretive synthesis adds more value than rigid meta-analytic aggregation. The review is organised thematically around the three research questions following a description of methods.</w:t>
      </w:r>
    </w:p>
    <w:p>
      <w:pPr>
        <w:pStyle w:val="Heading1"/>
        <w:spacing w:after="140" w:before="280"/>
      </w:pPr>
      <w:r>
        <w:rPr>
          <w:rFonts w:ascii="Times New Roman" w:cs="Times New Roman" w:eastAsia="Times New Roman" w:hAnsi="Times New Roman"/>
          <w:b/>
          <w:bCs/>
          <w:sz w:val="26"/>
          <w:szCs w:val="26"/>
        </w:rPr>
        <w:t xml:space="preserve">2. Methods</w:t>
      </w:r>
    </w:p>
    <w:p>
      <w:pPr>
        <w:pStyle w:val="Heading2"/>
        <w:spacing w:after="100" w:before="200"/>
      </w:pPr>
      <w:r>
        <w:rPr>
          <w:rFonts w:ascii="Times New Roman" w:cs="Times New Roman" w:eastAsia="Times New Roman" w:hAnsi="Times New Roman"/>
          <w:b/>
          <w:bCs/>
          <w:i/>
          <w:iCs/>
          <w:sz w:val="24"/>
          <w:szCs w:val="24"/>
        </w:rPr>
        <w:t xml:space="preserve">2.1 Review design and search strategy</w:t>
      </w:r>
    </w:p>
    <w:p>
      <w:pPr>
        <w:spacing w:after="120" w:line="360"/>
        <w:ind w:firstLine="360"/>
        <w:jc w:val="both"/>
      </w:pPr>
      <w:r>
        <w:rPr>
          <w:rFonts w:ascii="Times New Roman" w:cs="Times New Roman" w:eastAsia="Times New Roman" w:hAnsi="Times New Roman"/>
        </w:rPr>
        <w:t xml:space="preserve">This study adopts a structured narrative review design. Five thematic search angles were defined a priori to ensure breadth: (i) definitions and taxonomies of agentic AI; (ii) pedagogical roles and named deployments; (iii) empirical learning-outcome evidence; (iv) governance, ethics, and policy; and (v) risks, equity, and research gaps. For each angle, iterative web and database searches were executed across scholarly repositories (arXiv, ACL Anthology, Springer, Nature portfolio, Wiley, Elsevier, MDPI, Frontiers), institutional sources (UNESCO, OECD, the World Bank, the European Union, and university research offices), and indexing services, prioritising peer-reviewed and authoritative institutional outputs published between 2023 and 2026.</w:t>
      </w:r>
    </w:p>
    <w:p>
      <w:pPr>
        <w:pStyle w:val="Heading2"/>
        <w:spacing w:after="100" w:before="200"/>
      </w:pPr>
      <w:r>
        <w:rPr>
          <w:rFonts w:ascii="Times New Roman" w:cs="Times New Roman" w:eastAsia="Times New Roman" w:hAnsi="Times New Roman"/>
          <w:b/>
          <w:bCs/>
          <w:i/>
          <w:iCs/>
          <w:sz w:val="24"/>
          <w:szCs w:val="24"/>
        </w:rPr>
        <w:t xml:space="preserve">2.2 Source selection</w:t>
      </w:r>
    </w:p>
    <w:p>
      <w:pPr>
        <w:spacing w:after="120" w:line="360"/>
        <w:ind w:firstLine="360"/>
        <w:jc w:val="both"/>
      </w:pPr>
      <w:r>
        <w:rPr>
          <w:rFonts w:ascii="Times New Roman" w:cs="Times New Roman" w:eastAsia="Times New Roman" w:hAnsi="Times New Roman"/>
        </w:rPr>
        <w:t xml:space="preserve">Sources were retained on the basis of relevance to one or more research questions, recency (2023–2026), and credibility, with peer-reviewed journal articles and formal policy instruments preferred over practitioner blogs and vendor marketing material. Approximately forty sources were retained for synthesis. Commercial adoption figures lacking independent verification were flagged and excluded from evidentiary claims.</w:t>
      </w:r>
    </w:p>
    <w:p>
      <w:pPr>
        <w:pStyle w:val="Heading2"/>
        <w:spacing w:after="100" w:before="200"/>
      </w:pPr>
      <w:r>
        <w:rPr>
          <w:rFonts w:ascii="Times New Roman" w:cs="Times New Roman" w:eastAsia="Times New Roman" w:hAnsi="Times New Roman"/>
          <w:b/>
          <w:bCs/>
          <w:i/>
          <w:iCs/>
          <w:sz w:val="24"/>
          <w:szCs w:val="24"/>
        </w:rPr>
        <w:t xml:space="preserve">2.3 Adversarial verification protocol</w:t>
      </w:r>
    </w:p>
    <w:p>
      <w:pPr>
        <w:spacing w:after="120" w:line="360"/>
        <w:ind w:firstLine="360"/>
        <w:jc w:val="both"/>
      </w:pPr>
      <w:r>
        <w:rPr>
          <w:rFonts w:ascii="Times New Roman" w:cs="Times New Roman" w:eastAsia="Times New Roman" w:hAnsi="Times New Roman"/>
        </w:rPr>
        <w:t xml:space="preserve">To mitigate the risk of citing fabricated or misattributed findings—a documented hazard when AI-assisted tooling supports literature retrieval—twelve load-bearing empirical claims were subjected to a three-vote adversarial verification protocol. Each claim was independently re-checked by three separate verification passes that actively sought to refute it (confirming source existence, authorship, journal, date, sample size, and reported effect). A claim was retained only if it survived this scrutiny; a claim was rejected if it failed two of three checks. Of the twelve claims examined, eleven were confirmed and one was rejected: a circulating set of disparity statistics (“146 implementations; 57% disparities; 14.7% lower predictive accuracy”) was traced to a legitimate DOI whose actual content (a qualitative review of approximately seventy-five papers) did not contain those figures, and was therefore excluded. Claims that could not be fully verified are reported with explicit hedging. In a subsequent pass, the bibliographic details of every cited reference (authorship, venue, year, and identifier) were independently re-checked against scholarly indexes; corrections were applied where discrepancies were found, and candidate sources whose authorship could not be confirmed were excluded rather than cited speculatively.</w:t>
      </w:r>
    </w:p>
    <w:p>
      <w:pPr>
        <w:pStyle w:val="Heading2"/>
        <w:spacing w:after="100" w:before="200"/>
      </w:pPr>
      <w:r>
        <w:rPr>
          <w:rFonts w:ascii="Times New Roman" w:cs="Times New Roman" w:eastAsia="Times New Roman" w:hAnsi="Times New Roman"/>
          <w:b/>
          <w:bCs/>
          <w:i/>
          <w:iCs/>
          <w:sz w:val="24"/>
          <w:szCs w:val="24"/>
        </w:rPr>
        <w:t xml:space="preserve">2.4 Limitations of the method</w:t>
      </w:r>
    </w:p>
    <w:p>
      <w:pPr>
        <w:spacing w:after="120" w:line="360"/>
        <w:ind w:firstLine="360"/>
        <w:jc w:val="both"/>
      </w:pPr>
      <w:r>
        <w:rPr>
          <w:rFonts w:ascii="Times New Roman" w:cs="Times New Roman" w:eastAsia="Times New Roman" w:hAnsi="Times New Roman"/>
        </w:rPr>
        <w:t xml:space="preserve">As a narrative review, this synthesis is interpretive and non-exhaustive; it does not apply formal systematic-review protocols (e.g., PRISMA) or quantitative pooling, and is therefore susceptible to selection and interpretation effects. Full-text retrieval was constrained for a subset of sources, so certain numeric values derive from cross-checked secondary extractions and should be confirmed against primary documents prior to onward citation. These limitations are revisited in Section 7.</w:t>
      </w:r>
    </w:p>
    <w:p>
      <w:pPr>
        <w:pStyle w:val="Heading1"/>
        <w:spacing w:after="140" w:before="280"/>
      </w:pPr>
      <w:r>
        <w:rPr>
          <w:rFonts w:ascii="Times New Roman" w:cs="Times New Roman" w:eastAsia="Times New Roman" w:hAnsi="Times New Roman"/>
          <w:b/>
          <w:bCs/>
          <w:sz w:val="26"/>
          <w:szCs w:val="26"/>
        </w:rPr>
        <w:t xml:space="preserve">3. Conceptual Framing: What Makes AI “Agentic”?</w:t>
      </w:r>
    </w:p>
    <w:p>
      <w:pPr>
        <w:spacing w:after="120" w:line="360"/>
        <w:ind w:firstLine="360"/>
        <w:jc w:val="both"/>
      </w:pPr>
      <w:r>
        <w:rPr>
          <w:rFonts w:ascii="Times New Roman" w:cs="Times New Roman" w:eastAsia="Times New Roman" w:hAnsi="Times New Roman"/>
        </w:rPr>
        <w:t xml:space="preserve">Agentic AI is distinguished from generative AI principally by autonomy and goal-directedness. The defining technical markers recur across the literature: autonomy, planning, tool use, persistent memory, and—most distinctively—multi-agent orchestration (Kamalov et al., 2025). The anchoring conceptual taxonomy separates two paradigms: “AI Agents,” modular and single-purpose systems for narrow task automation, and “Agentic AI,” which Sapkota et al. (2025) characterise as “a paradigmatic shift marked by multi-agent collaboration, dynamic task decomposition, persistent memory, and orchestrated autonomy.”</w:t>
      </w:r>
    </w:p>
    <w:p>
      <w:pPr>
        <w:spacing w:after="120" w:line="360"/>
        <w:ind w:firstLine="360"/>
        <w:jc w:val="both"/>
      </w:pPr>
      <w:r>
        <w:rPr>
          <w:rFonts w:ascii="Times New Roman" w:cs="Times New Roman" w:eastAsia="Times New Roman" w:hAnsi="Times New Roman"/>
        </w:rPr>
        <w:t xml:space="preserve">Education-specific frameworks are emerging but remain unstandardised. The APCP framework charts four escalating levels of agency in collaborative learning—AI as Adaptive Instrument, Proactive Assistant, Co-Learner, and Peer Collaborator—grounded in sociocultural and computer-supported collaborative learning (CSCL) theory (Yan, 2025). A complementary task-centric taxonomy divides educational large language model (LLM) agents into teaching-assistance and student-support agents over a shared architecture of perception, profiling, memory, reasoning, and action (Chu et al., 2025). General-purpose levels-of-autonomy scales (L0–L5) exist but are not education-specific (Levels of Autonomy for AI Agents, 2025).</w:t>
      </w:r>
    </w:p>
    <w:p>
      <w:pPr>
        <w:spacing w:after="120" w:line="360"/>
        <w:ind w:firstLine="360"/>
        <w:jc w:val="both"/>
      </w:pPr>
      <w:r>
        <w:rPr>
          <w:rFonts w:ascii="Times New Roman" w:cs="Times New Roman" w:eastAsia="Times New Roman" w:hAnsi="Times New Roman"/>
          <w:b w:val="false"/>
          <w:bCs w:val="false"/>
        </w:rPr>
        <w:t xml:space="preserve">Three conceptual fault-lines warrant emphasis. </w:t>
      </w:r>
      <w:r>
        <w:rPr>
          <w:rFonts w:ascii="Times New Roman" w:cs="Times New Roman" w:eastAsia="Times New Roman" w:hAnsi="Times New Roman"/>
        </w:rPr>
        <w:t xml:space="preserve">First, terminology is inconsistent: many education papers use “AI agent” and “agentic AI” interchangeably, whereas Sapkota et al. (2025) treat them as distinct paradigms. Second, the asserted leap beyond classical ITS—that agentic systems reason about goals and generate novel instructional strategies rather than following scripted branching—is largely conceptual and not yet demonstrated through rigorous comparative evidence. Third, a normative tension is visible between the academic literature, which embraces autonomy, and institutional bodies such as UNESCO and the OECD, which deliberately avoid “agentic” language and foreground human agency, accountability, and oversight.</w:t>
      </w:r>
    </w:p>
    <w:p>
      <w:pPr>
        <w:pStyle w:val="Heading1"/>
        <w:spacing w:after="140" w:before="280"/>
      </w:pPr>
      <w:r>
        <w:rPr>
          <w:rFonts w:ascii="Times New Roman" w:cs="Times New Roman" w:eastAsia="Times New Roman" w:hAnsi="Times New Roman"/>
          <w:b/>
          <w:bCs/>
          <w:sz w:val="26"/>
          <w:szCs w:val="26"/>
        </w:rPr>
        <w:t xml:space="preserve">4. Pedagogical Roles</w:t>
      </w:r>
    </w:p>
    <w:p>
      <w:pPr>
        <w:spacing w:after="120" w:line="360"/>
        <w:ind w:firstLine="360"/>
        <w:jc w:val="both"/>
      </w:pPr>
      <w:r>
        <w:rPr>
          <w:rFonts w:ascii="Times New Roman" w:cs="Times New Roman" w:eastAsia="Times New Roman" w:hAnsi="Times New Roman"/>
        </w:rPr>
        <w:t xml:space="preserve">Synthesis across the deployment literature identifies six recurrent pedagogical roles, summarised in Table 1. Beyond the functional role a system occupies, its perceived agency also shapes learner psychology: a 2026 study found that students’ perceptions of AI agency, together with trust and autonomy support, predicted self-efficacy and self-learning motivation in higher education (Alqurni,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Role</w:t>
            </w:r>
          </w:p>
        </w:tc>
        <w:tc>
          <w:tcPr>
            <w:tcW w:type="dxa" w:w="368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Representative system(s)</w:t>
            </w:r>
          </w:p>
        </w:tc>
        <w:tc>
          <w:tcPr>
            <w:tcW w:type="dxa" w:w="348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Evidence status</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Autonomous 1:1 tutor</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Khanmigo; GenMentor</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Mixed; gains not always significant vs. controls</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Teaching assistant / feedback</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Jill Watson (Georgia Tech)</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Strong institutional A/B evidence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Simulated peer / companion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OnlineMate; collaborative math agents</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Emerging; preprint-stage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Orchestrator / lesson designer</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EduPlanner; AgentLesson; MAS-CMD</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Teacher-preferred; rubric gains modest</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Multi-agent role division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Agent4Edu; assessment MAS</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Conceptual to early empirical</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Simulation / role-play</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AIPatient; EvoPatient</w:t>
            </w:r>
          </w:p>
        </w:tc>
        <w:tc>
          <w:tcPr>
            <w:tcW w:type="dxa" w:w="3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Strong peer-reviewed clinical evidence</w:t>
            </w:r>
          </w:p>
        </w:tc>
      </w:tr>
    </w:tbl>
    <w:p>
      <w:pPr>
        <w:spacing w:after="160" w:before="80"/>
      </w:pPr>
      <w:r>
        <w:rPr>
          <w:rFonts w:ascii="Times New Roman" w:cs="Times New Roman" w:eastAsia="Times New Roman" w:hAnsi="Times New Roman"/>
          <w:i/>
          <w:iCs/>
          <w:sz w:val="19"/>
          <w:szCs w:val="19"/>
        </w:rPr>
        <w:t xml:space="preserve">Table 1. Pedagogical roles of agentic AI in education, with representative systems and the maturity of supporting evidence.</w:t>
      </w:r>
    </w:p>
    <w:p>
      <w:pPr>
        <w:pStyle w:val="Heading2"/>
        <w:spacing w:after="100" w:before="200"/>
      </w:pPr>
      <w:r>
        <w:rPr>
          <w:rFonts w:ascii="Times New Roman" w:cs="Times New Roman" w:eastAsia="Times New Roman" w:hAnsi="Times New Roman"/>
          <w:b/>
          <w:bCs/>
          <w:i/>
          <w:iCs/>
          <w:sz w:val="24"/>
          <w:szCs w:val="24"/>
        </w:rPr>
        <w:t xml:space="preserve">4.1 Tutoring and teaching assistance</w:t>
      </w:r>
    </w:p>
    <w:p>
      <w:pPr>
        <w:spacing w:after="120" w:line="360"/>
        <w:ind w:firstLine="360"/>
        <w:jc w:val="both"/>
      </w:pPr>
      <w:r>
        <w:rPr>
          <w:rFonts w:ascii="Times New Roman" w:cs="Times New Roman" w:eastAsia="Times New Roman" w:hAnsi="Times New Roman"/>
        </w:rPr>
        <w:t xml:space="preserve">Khanmigo (Khan Academy) is the most widely deployed autonomous tutor, yet peer-reviewed evidence is mixed: a controlled study (n = 69 undergraduates) found learning gains but no statistically significant advantage over search-based and paper-only comparison groups, despite positive student ratings of its Socratic guidance (Slijepcevic &amp; Yaylali, 2025). The most robust teaching-assistant evidence concerns Jill Watson, a retrieval-augmented virtual assistant that achieved 75–97% accuracy on synthetic test sets (78.7% in live classrooms) against approximately 30% for an unaugmented baseline; classes using it earned more A grades (66% vs. 62%) and fewer C grades (3% vs. 7%) in an A/B comparison (Georgia Institute of Technology, 2025).</w:t>
      </w:r>
    </w:p>
    <w:p>
      <w:pPr>
        <w:pStyle w:val="Heading2"/>
        <w:spacing w:after="100" w:before="200"/>
      </w:pPr>
      <w:r>
        <w:rPr>
          <w:rFonts w:ascii="Times New Roman" w:cs="Times New Roman" w:eastAsia="Times New Roman" w:hAnsi="Times New Roman"/>
          <w:b/>
          <w:bCs/>
          <w:i/>
          <w:iCs/>
          <w:sz w:val="24"/>
          <w:szCs w:val="24"/>
        </w:rPr>
        <w:t xml:space="preserve">4.2 Companions, orchestrators, and simulations</w:t>
      </w:r>
    </w:p>
    <w:p>
      <w:pPr>
        <w:spacing w:after="120" w:line="360"/>
        <w:ind w:firstLine="360"/>
        <w:jc w:val="both"/>
      </w:pPr>
      <w:r>
        <w:rPr>
          <w:rFonts w:ascii="Times New Roman" w:cs="Times New Roman" w:eastAsia="Times New Roman" w:hAnsi="Times New Roman"/>
        </w:rPr>
        <w:t xml:space="preserve">Simulated-peer systems such as OnlineMate employ Theory-of-Mind reasoning to adapt to learners’ cognitive and affective states (OnlineMate, 2025), while multi-agent orchestrators (EduPlanner; AgentLesson; the KLI-grounded MAS-CMD) generate and iteratively refine instructional designs. Notably, teachers strongly preferred MAS-CMD outputs as more creative and classroom-ready even though rubric scores differed only marginally from baselines (Stanford SCALE Initiative, 2025)—a caution that human preference is not equivalent to measured instructional quality. The strongest rigorous deployment evidence lies in medical simulation: AIPatient, driven by six task-specific LLM agents over a knowledge graph, matched or exceeded human standardised patients in a paired crossover study with medical students (Yu et al., 2025).</w:t>
      </w:r>
    </w:p>
    <w:p>
      <w:pPr>
        <w:pStyle w:val="Heading1"/>
        <w:spacing w:after="140" w:before="280"/>
      </w:pPr>
      <w:r>
        <w:rPr>
          <w:rFonts w:ascii="Times New Roman" w:cs="Times New Roman" w:eastAsia="Times New Roman" w:hAnsi="Times New Roman"/>
          <w:b/>
          <w:bCs/>
          <w:sz w:val="26"/>
          <w:szCs w:val="26"/>
        </w:rPr>
        <w:t xml:space="preserve">5. Learning Outcomes: A Central Dissociation</w:t>
      </w:r>
    </w:p>
    <w:p>
      <w:pPr>
        <w:spacing w:after="120" w:line="360"/>
        <w:ind w:firstLine="360"/>
        <w:jc w:val="both"/>
      </w:pPr>
      <w:r>
        <w:rPr>
          <w:rFonts w:ascii="Times New Roman" w:cs="Times New Roman" w:eastAsia="Times New Roman" w:hAnsi="Times New Roman"/>
        </w:rPr>
        <w:t xml:space="preserve">The empirical record splits cleanly, and that split constitutes the field’s most defensible thesis: agentic and generative AI improve immediate output and engagement, but design determines whether durable learning is built or eroded. Table 2 summarises the principal efficacy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700"/>
        <w:gridCol w:w="3400"/>
      </w:tblGrid>
      <w:tr>
        <w:trPr>
          <w:tblHeader/>
        </w:trPr>
        <w:tc>
          <w:tcPr>
            <w:tcW w:type="dxa" w:w="326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Study (venue)</w:t>
            </w:r>
          </w:p>
        </w:tc>
        <w:tc>
          <w:tcPr>
            <w:tcW w:type="dxa" w:w="27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Design</w:t>
            </w:r>
          </w:p>
        </w:tc>
        <w:tc>
          <w:tcPr>
            <w:tcW w:type="dxa" w:w="3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Headline result</w:t>
            </w:r>
          </w:p>
        </w:tc>
      </w:tr>
      <w:tr>
        <w:trPr>
          <w:tblHeader w:val="false"/>
        </w:trPr>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Kestin et al. (Scientific Reports,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Crossover RCT, N = 194, Harvard physics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~2× learning gains vs. active learning; d ≈ 0.73–1.3; less time</w:t>
            </w:r>
          </w:p>
        </w:tc>
      </w:tr>
      <w:tr>
        <w:trPr>
          <w:tblHeader w:val="false"/>
        </w:trPr>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World Bank WP 11125 (2025), Nigeria</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RCT, N ≈ 800, 6 wks, GPT-4</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+0.31 SD composite; largest gains for girls</w:t>
            </w:r>
          </w:p>
        </w:tc>
      </w:tr>
      <w:tr>
        <w:trPr>
          <w:tblHeader w:val="false"/>
        </w:trPr>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Liu et al. (J. Comp. Assist. Learn.,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Meta-analysis, 37 studies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g = 0.577, 95% CI [0.395, 0.759]</w:t>
            </w:r>
          </w:p>
        </w:tc>
      </w:tr>
    </w:tbl>
    <w:p>
      <w:pPr>
        <w:spacing w:after="160" w:before="80"/>
      </w:pPr>
      <w:r>
        <w:rPr>
          <w:rFonts w:ascii="Times New Roman" w:cs="Times New Roman" w:eastAsia="Times New Roman" w:hAnsi="Times New Roman"/>
          <w:i/>
          <w:iCs/>
          <w:sz w:val="19"/>
          <w:szCs w:val="19"/>
        </w:rPr>
        <w:t xml:space="preserve">Table 2. Principal positive-efficacy evidence for AI tutoring and generative AI in learning.</w:t>
      </w:r>
    </w:p>
    <w:p>
      <w:pPr>
        <w:spacing w:after="120" w:line="360"/>
        <w:ind w:firstLine="360"/>
        <w:jc w:val="both"/>
      </w:pPr>
      <w:r>
        <w:rPr>
          <w:rFonts w:ascii="Times New Roman" w:cs="Times New Roman" w:eastAsia="Times New Roman" w:hAnsi="Times New Roman"/>
        </w:rPr>
        <w:t xml:space="preserve">These positive findings carry important hedges: the Kestin et al. (2025) tutoring lesson was researcher-engineered for best-case prompting over short single topics; the Nigeria trial’s (De Simone et al., 2025) “1.5–2 years of schooling” equivalence is an extrapolation; and both ran in teacher-mentored rather than fully autonomous settings.</w:t>
      </w:r>
    </w:p>
    <w:p>
      <w:pPr>
        <w:spacing w:after="120" w:line="360"/>
        <w:ind w:firstLine="360"/>
        <w:jc w:val="both"/>
      </w:pPr>
      <w:r>
        <w:rPr>
          <w:rFonts w:ascii="Times New Roman" w:cs="Times New Roman" w:eastAsia="Times New Roman" w:hAnsi="Times New Roman"/>
        </w:rPr>
        <w:t xml:space="preserve">Convergent 2026 meta-analytic work situates the effect as moderate and, crucially, pedagogy-dependent. A meta-analysis confined to generative-AI pedagogical agents reported g = 0.401, with stronger effects under teacher-directed than self-directed learning (Cheng et al., 2026), while a meta-review synthesising prior systematic reviews reached similar conclusions about the centrality of instructional design (Zhang et al., 2026). A 2026 systematic review of higher education likewise reported mixed, discipline-dependent outcomes alongside engagement gains, reinforcing the call for longitudinal evidence (Hon, 2026). Taken together, these syntheses caution against headline point estimates and favour a range bounded by the conditions of use.</w:t>
      </w:r>
    </w:p>
    <w:p>
      <w:pPr>
        <w:pStyle w:val="Heading2"/>
        <w:spacing w:after="100" w:before="200"/>
      </w:pPr>
      <w:r>
        <w:rPr>
          <w:rFonts w:ascii="Times New Roman" w:cs="Times New Roman" w:eastAsia="Times New Roman" w:hAnsi="Times New Roman"/>
          <w:b/>
          <w:bCs/>
          <w:i/>
          <w:iCs/>
          <w:sz w:val="24"/>
          <w:szCs w:val="24"/>
        </w:rPr>
        <w:t xml:space="preserve">5.1 Over-reliance and the erosion of durable learning</w:t>
      </w:r>
    </w:p>
    <w:p>
      <w:pPr>
        <w:spacing w:after="120" w:line="360"/>
        <w:ind w:firstLine="360"/>
        <w:jc w:val="both"/>
      </w:pPr>
      <w:r>
        <w:rPr>
          <w:rFonts w:ascii="Times New Roman" w:cs="Times New Roman" w:eastAsia="Times New Roman" w:hAnsi="Times New Roman"/>
        </w:rPr>
        <w:t xml:space="preserve">Countervailing evidence is equally rigorous. In a field randomised controlled trial in Turkish secondary mathematics, students using unguarded GPT-4 improved during practice but, once AI access was removed, scored approximately 17% worse on examinations than peers who never had access; critically, a guardrailed “tutor” variant that offered hints rather than answers eliminated this harm (Bastani et al., 2025). This provides the strongest causal evidence that the detriment is design-dependent rather than intrinsic. Convergent findings include reduced self-regulated learning and absent transfer gains despite better short-term essays (“metacognitive laziness”; Fan et al., 2025); superficial learning under over-reliance in 65.5% of fifty-eight programming-education studies (Teaching with AI, 2025); and a preprint EEG study in which LLM users showed the weakest neural connectivity and 83% could not quote from an essay they had just written (Kosmyna et al., 2025). The last is reported here as suggestive only, given its small sample (N = 54) and non-peer-reviewed status. Learner-side accounts corroborate the over-reliance mechanism: a 2026 thematic analysis found that students encountered fabricated citations and overconfident, sycophantic responses, and developed ad hoc verification strategies in response (Shoufan &amp; Esmaeil, 2026).</w:t>
      </w:r>
    </w:p>
    <w:p>
      <w:pPr>
        <w:pStyle w:val="Heading2"/>
        <w:spacing w:after="100" w:before="200"/>
      </w:pPr>
      <w:r>
        <w:rPr>
          <w:rFonts w:ascii="Times New Roman" w:cs="Times New Roman" w:eastAsia="Times New Roman" w:hAnsi="Times New Roman"/>
          <w:b/>
          <w:bCs/>
          <w:i/>
          <w:iCs/>
          <w:sz w:val="24"/>
          <w:szCs w:val="24"/>
        </w:rPr>
        <w:t xml:space="preserve">5.2 Evidence quality and a cautionary retraction</w:t>
      </w:r>
    </w:p>
    <w:p>
      <w:pPr>
        <w:spacing w:after="120" w:line="360"/>
        <w:ind w:firstLine="360"/>
        <w:jc w:val="both"/>
      </w:pPr>
      <w:r>
        <w:rPr>
          <w:rFonts w:ascii="Times New Roman" w:cs="Times New Roman" w:eastAsia="Times New Roman" w:hAnsi="Times New Roman"/>
        </w:rPr>
        <w:t xml:space="preserve">Pooled effect sizes for generative AI in education range widely (g ≈ 0.46 to 1.14) across 2025–2026 meta-analyses, signalling heterogeneous, short-term, and frequently low-rigour primary studies alongside probable publication bias. Most strikingly, a heavily cited meta-analysis (Wang &amp; Fan, 2025, retracted; originally reporting g = 0.867) was retracted in 2026 for data discrepancies after several hundred citations and approximately half a million reads (Retraction note, 2026). Accordingly, the conservative peer-reviewed estimate (Liu et al., 2025; g ≈ 0.58) should be preferred, and effects reported as a range rather than a point value.</w:t>
      </w:r>
    </w:p>
    <w:p>
      <w:pPr>
        <w:pStyle w:val="Heading1"/>
        <w:spacing w:after="140" w:before="280"/>
      </w:pPr>
      <w:r>
        <w:rPr>
          <w:rFonts w:ascii="Times New Roman" w:cs="Times New Roman" w:eastAsia="Times New Roman" w:hAnsi="Times New Roman"/>
          <w:b/>
          <w:bCs/>
          <w:sz w:val="26"/>
          <w:szCs w:val="26"/>
        </w:rPr>
        <w:t xml:space="preserve">6. Governance, Ethics, and Policy Challenges</w:t>
      </w:r>
    </w:p>
    <w:p>
      <w:pPr>
        <w:spacing w:after="120" w:line="360"/>
        <w:ind w:firstLine="360"/>
        <w:jc w:val="both"/>
      </w:pPr>
      <w:r>
        <w:rPr>
          <w:rFonts w:ascii="Times New Roman" w:cs="Times New Roman" w:eastAsia="Times New Roman" w:hAnsi="Times New Roman"/>
        </w:rPr>
        <w:t xml:space="preserve">Table 3 maps the principal governance instruments relevant to agentic AI in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rPr>
          <w:tblHeader/>
        </w:trPr>
        <w:tc>
          <w:tcPr>
            <w:tcW w:type="dxa" w:w="346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Instrument (body, year)</w:t>
            </w:r>
          </w:p>
        </w:tc>
        <w:tc>
          <w:tcPr>
            <w:tcW w:type="dxa" w:w="5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spacing w:after="0" w:line="280"/>
            </w:pPr>
            <w:r>
              <w:rPr>
                <w:rFonts w:ascii="Times New Roman" w:cs="Times New Roman" w:eastAsia="Times New Roman" w:hAnsi="Times New Roman"/>
                <w:b/>
                <w:bCs/>
                <w:sz w:val="19"/>
                <w:szCs w:val="19"/>
              </w:rPr>
              <w:t xml:space="preserve">Requirement relevant to educational AI</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UNESCO Guidance on Generative AI (2023)</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Seven-step regulatory roadmap; minimum age 13 for independent use; eight institutional equity measures</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UNESCO AI Competency Frameworks (2024)</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Students: 12 competencies / 4 dimensions; teachers: 15 / 5; human-rights based</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EU AI Act, Annex III(3) (2024)</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Admissions, outcome evaluation, and exam-monitoring AI classed high-risk—oversight, bias mitigation, logging</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EU AI Act, Art. 5(1)(f) (eff. 2 Feb 2025)</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Prohibits emotion-inference AI in educational institutions (medical/safety exceptions)</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EU AI Act, Art. 4 (eff. 2 Feb 2025)</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Deployers must ensure AI literacy of staff and affected persons</w:t>
            </w:r>
          </w:p>
        </w:tc>
      </w:tr>
      <w:tr>
        <w:trPr>
          <w:tblHeader w:val="false"/>
        </w:trPr>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OECD Digital Education Outlook (2023)</w:t>
            </w:r>
          </w:p>
        </w:tc>
        <w:tc>
          <w:tcPr>
            <w:tcW w:type="dxa" w:w="5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19"/>
                <w:szCs w:val="19"/>
              </w:rPr>
              <w:t xml:space="preserve">Mandatory bias testing; algorithm transparency; human-in-the-loop grading</w:t>
            </w:r>
          </w:p>
        </w:tc>
      </w:tr>
    </w:tbl>
    <w:p>
      <w:pPr>
        <w:spacing w:after="160" w:before="80"/>
      </w:pPr>
      <w:r>
        <w:rPr>
          <w:rFonts w:ascii="Times New Roman" w:cs="Times New Roman" w:eastAsia="Times New Roman" w:hAnsi="Times New Roman"/>
          <w:i/>
          <w:iCs/>
          <w:sz w:val="19"/>
          <w:szCs w:val="19"/>
        </w:rPr>
        <w:t xml:space="preserve">Table 3. Principal policy instruments governing AI in education (all entries verified against primary sources).</w:t>
      </w:r>
    </w:p>
    <w:p>
      <w:pPr>
        <w:spacing w:after="120" w:line="360"/>
        <w:ind w:firstLine="360"/>
        <w:jc w:val="both"/>
      </w:pPr>
      <w:r>
        <w:rPr>
          <w:rFonts w:ascii="Times New Roman" w:cs="Times New Roman" w:eastAsia="Times New Roman" w:hAnsi="Times New Roman"/>
          <w:b/>
          <w:bCs/>
          <w:i/>
          <w:iCs/>
        </w:rPr>
        <w:t xml:space="preserve">The agentic accountability gap. </w:t>
      </w:r>
      <w:r>
        <w:rPr>
          <w:rFonts w:ascii="Times New Roman" w:cs="Times New Roman" w:eastAsia="Times New Roman" w:hAnsi="Times New Roman"/>
        </w:rPr>
        <w:t xml:space="preserve">When autonomous agents initiate and execute actions without a clearly designated human owner, responsibility diffuses across developers, deployers, and end-users—a “moral crumple zone” (Agentic AI, 2025). Critically, the strongest education-specific instruments (UNESCO, the EU AI Act, the OECD) were drafted for generative and predictive AI and predate the agentic framing, constituting a governance gap in itself.</w:t>
      </w:r>
    </w:p>
    <w:p>
      <w:pPr>
        <w:spacing w:after="120" w:line="360"/>
        <w:ind w:firstLine="360"/>
        <w:jc w:val="both"/>
      </w:pPr>
      <w:r>
        <w:rPr>
          <w:rFonts w:ascii="Times New Roman" w:cs="Times New Roman" w:eastAsia="Times New Roman" w:hAnsi="Times New Roman"/>
          <w:b/>
          <w:bCs/>
          <w:i/>
          <w:iCs/>
        </w:rPr>
        <w:t xml:space="preserve">Algorithmic bias and equity. </w:t>
      </w:r>
      <w:r>
        <w:rPr>
          <w:rFonts w:ascii="Times New Roman" w:cs="Times New Roman" w:eastAsia="Times New Roman" w:hAnsi="Times New Roman"/>
        </w:rPr>
        <w:t xml:space="preserve">The OECD (2023) documents education algorithms that disadvantage societally marginalised groups—including along lines of language and socioeconomic status—and identifies a structural tension whereby detecting bias requires collecting the very demographic data one would prefer to minimise. (A widely circulated quantitative disparity statistic was found, on verification, to be misattributed to a paper that is in fact a qualitative synthesis of ethical risks (Zhu et al., 2025); the figure is therefore deliberately omitted here, although the underlying equity concern is well documented.)</w:t>
      </w:r>
    </w:p>
    <w:p>
      <w:pPr>
        <w:spacing w:after="120" w:line="360"/>
        <w:ind w:firstLine="360"/>
        <w:jc w:val="both"/>
      </w:pPr>
      <w:r>
        <w:rPr>
          <w:rFonts w:ascii="Times New Roman" w:cs="Times New Roman" w:eastAsia="Times New Roman" w:hAnsi="Times New Roman"/>
          <w:b/>
          <w:bCs/>
          <w:i/>
          <w:iCs/>
        </w:rPr>
        <w:t xml:space="preserve">Academic integrity and privacy. </w:t>
      </w:r>
      <w:r>
        <w:rPr>
          <w:rFonts w:ascii="Times New Roman" w:cs="Times New Roman" w:eastAsia="Times New Roman" w:hAnsi="Times New Roman"/>
        </w:rPr>
        <w:t xml:space="preserve">AI text detectors are unreliable—lagging new models, defeated by paraphrasers, and prone to false positives—prompting a scholarly shift toward assessment redesign (oral, in-person, and staged submission) over detection (Bittle &amp; El-Gayar, 2025). Empirical 2026 evidence reinforces the concern: a stylistic and semantic analysis of student submissions found that many learners used AI to generate answers outright rather than as a support for learning (Logachev, 2026). Data-protection regimes (FERPA, COPPA as amended in 2025, and the GDPR) remain fragmented and were written before autonomous, tool-using agents, while reported institutional trust in agentic AI is low—motivating tiered-autonomy safeguards and human-in-the-loop checkpoints.</w:t>
      </w:r>
    </w:p>
    <w:p>
      <w:pPr>
        <w:pStyle w:val="Heading1"/>
        <w:spacing w:after="140" w:before="280"/>
      </w:pPr>
      <w:r>
        <w:rPr>
          <w:rFonts w:ascii="Times New Roman" w:cs="Times New Roman" w:eastAsia="Times New Roman" w:hAnsi="Times New Roman"/>
          <w:b/>
          <w:bCs/>
          <w:sz w:val="26"/>
          <w:szCs w:val="26"/>
        </w:rPr>
        <w:t xml:space="preserve">7. Risks, Equity, and Research Gaps</w:t>
      </w:r>
    </w:p>
    <w:p>
      <w:pPr>
        <w:spacing w:after="120" w:line="360"/>
        <w:ind w:firstLine="360"/>
        <w:jc w:val="both"/>
      </w:pPr>
      <w:r>
        <w:rPr>
          <w:rFonts w:ascii="Times New Roman" w:cs="Times New Roman" w:eastAsia="Times New Roman" w:hAnsi="Times New Roman"/>
        </w:rPr>
        <w:t xml:space="preserve">Beyond formal governance, several cross-cutting risks recur. Errors in multi-step agent workflows propagate and compound, and even diagnosing which step failed is an unsolved evaluation problem (Liu et al., 2026). The deskilling concern is reframed as “never-skilling,” whereby learners who route every task through AI fail to acquire foundational skills at all. Equity gaps persist and widened in 2025 (AI use of approximately 24.7% in the Global North vs. 14.1% in the Global South), compounded by the English-centric design of most tools and a “third-level” divide in who benefits from AI (Matjie et al., 2026). Developmental and mental-health risks—including asymmetric parasocial attachment among adolescents—are emerging and under-monitored (UNESCO, n.d.). Cross-institutional consensus favours augmentation over replacement of teachers, with teacher capability acting as the mediating variable between infrastructure investment and student AI literacy: a national multilevel analysis spanning over a thousand institutions found that teacher capability, rather than mere institutional readiness, mediated the path to student AI literacy (Guan et al., 2026).</w:t>
      </w:r>
    </w:p>
    <w:p>
      <w:pPr>
        <w:spacing w:after="120" w:line="360"/>
        <w:ind w:firstLine="360"/>
        <w:jc w:val="both"/>
      </w:pPr>
      <w:r>
        <w:rPr>
          <w:rFonts w:ascii="Times New Roman" w:cs="Times New Roman" w:eastAsia="Times New Roman" w:hAnsi="Times New Roman"/>
        </w:rPr>
        <w:t xml:space="preserve">Six research gaps follow from this synthesis:</w:t>
      </w:r>
    </w:p>
    <w:p>
      <w:pPr>
        <w:pStyle w:val="ListParagraph"/>
        <w:numPr>
          <w:ilvl w:val="0"/>
          <w:numId w:val="2"/>
        </w:numPr>
        <w:spacing w:after="80" w:line="340"/>
        <w:jc w:val="both"/>
      </w:pPr>
      <w:r>
        <w:rPr>
          <w:rFonts w:ascii="Times New Roman" w:cs="Times New Roman" w:eastAsia="Times New Roman" w:hAnsi="Times New Roman"/>
        </w:rPr>
        <w:t xml:space="preserve">Scarcity of longitudinal and large-scale studies on durable learning impact.</w:t>
      </w:r>
    </w:p>
    <w:p>
      <w:pPr>
        <w:pStyle w:val="ListParagraph"/>
        <w:numPr>
          <w:ilvl w:val="0"/>
          <w:numId w:val="2"/>
        </w:numPr>
        <w:spacing w:after="80" w:line="340"/>
        <w:jc w:val="both"/>
      </w:pPr>
      <w:r>
        <w:rPr>
          <w:rFonts w:ascii="Times New Roman" w:cs="Times New Roman" w:eastAsia="Times New Roman" w:hAnsi="Times New Roman"/>
        </w:rPr>
        <w:t xml:space="preserve">Unsolved hallucination attribution in multi-agent workflows.</w:t>
      </w:r>
    </w:p>
    <w:p>
      <w:pPr>
        <w:pStyle w:val="ListParagraph"/>
        <w:numPr>
          <w:ilvl w:val="0"/>
          <w:numId w:val="2"/>
        </w:numPr>
        <w:spacing w:after="80" w:line="340"/>
        <w:jc w:val="both"/>
      </w:pPr>
      <w:r>
        <w:rPr>
          <w:rFonts w:ascii="Times New Roman" w:cs="Times New Roman" w:eastAsia="Times New Roman" w:hAnsi="Times New Roman"/>
        </w:rPr>
        <w:t xml:space="preserve">Absence of a standardised autonomy or agency taxonomy for education.</w:t>
      </w:r>
    </w:p>
    <w:p>
      <w:pPr>
        <w:pStyle w:val="ListParagraph"/>
        <w:numPr>
          <w:ilvl w:val="0"/>
          <w:numId w:val="2"/>
        </w:numPr>
        <w:spacing w:after="80" w:line="340"/>
        <w:jc w:val="both"/>
      </w:pPr>
      <w:r>
        <w:rPr>
          <w:rFonts w:ascii="Times New Roman" w:cs="Times New Roman" w:eastAsia="Times New Roman" w:hAnsi="Times New Roman"/>
        </w:rPr>
        <w:t xml:space="preserve">Missing cross-cultural and low-resource-language benchmarks.</w:t>
      </w:r>
    </w:p>
    <w:p>
      <w:pPr>
        <w:pStyle w:val="ListParagraph"/>
        <w:numPr>
          <w:ilvl w:val="0"/>
          <w:numId w:val="2"/>
        </w:numPr>
        <w:spacing w:after="80" w:line="340"/>
        <w:jc w:val="both"/>
      </w:pPr>
      <w:r>
        <w:rPr>
          <w:rFonts w:ascii="Times New Roman" w:cs="Times New Roman" w:eastAsia="Times New Roman" w:hAnsi="Times New Roman"/>
        </w:rPr>
        <w:t xml:space="preserve">No education-specific accountability frameworks for autonomous, action-taking agents.</w:t>
      </w:r>
    </w:p>
    <w:p>
      <w:pPr>
        <w:pStyle w:val="ListParagraph"/>
        <w:numPr>
          <w:ilvl w:val="0"/>
          <w:numId w:val="2"/>
        </w:numPr>
        <w:spacing w:after="80" w:line="340"/>
        <w:jc w:val="both"/>
      </w:pPr>
      <w:r>
        <w:rPr>
          <w:rFonts w:ascii="Times New Roman" w:cs="Times New Roman" w:eastAsia="Times New Roman" w:hAnsi="Times New Roman"/>
        </w:rPr>
        <w:t xml:space="preserve">Under-monitored parasocial-attachment and youth mental-health effects.</w:t>
      </w:r>
    </w:p>
    <w:p>
      <w:pPr>
        <w:pStyle w:val="Heading1"/>
        <w:spacing w:after="140" w:before="280"/>
      </w:pPr>
      <w:r>
        <w:rPr>
          <w:rFonts w:ascii="Times New Roman" w:cs="Times New Roman" w:eastAsia="Times New Roman" w:hAnsi="Times New Roman"/>
          <w:b/>
          <w:bCs/>
          <w:sz w:val="26"/>
          <w:szCs w:val="26"/>
        </w:rPr>
        <w:t xml:space="preserve">8. Discussion</w:t>
      </w:r>
    </w:p>
    <w:p>
      <w:pPr>
        <w:spacing w:after="120" w:line="360"/>
        <w:ind w:firstLine="360"/>
        <w:jc w:val="both"/>
      </w:pPr>
      <w:r>
        <w:rPr>
          <w:rFonts w:ascii="Times New Roman" w:cs="Times New Roman" w:eastAsia="Times New Roman" w:hAnsi="Times New Roman"/>
        </w:rPr>
        <w:t xml:space="preserve">The reviewed evidence supports a measured rather than dichotomous reading. Agentic AI is genuinely capable—multi-agent tutors, virtual assistants, and clinical simulators post measurable gains in controlled settings (RQ1, RQ2). Yet the most reliable empirical lesson is a dissociation between immediate performance and durable learning: the same systems that raise output and engagement can erode retention, transfer, and self-regulation when deployed without pedagogical guardrails. The Bastani et al. (2025) demonstration that guardrails eliminate the post-removal decrement is pivotal, because it relocates the locus of harm from the technology itself to its instructional design.</w:t>
      </w:r>
    </w:p>
    <w:p>
      <w:pPr>
        <w:spacing w:after="120" w:line="360"/>
        <w:ind w:firstLine="360"/>
        <w:jc w:val="both"/>
      </w:pPr>
      <w:r>
        <w:rPr>
          <w:rFonts w:ascii="Times New Roman" w:cs="Times New Roman" w:eastAsia="Times New Roman" w:hAnsi="Times New Roman"/>
        </w:rPr>
        <w:t xml:space="preserve">On governance (RQ3), the central finding is structural lag: today’s strongest instruments were written for an earlier, less autonomous generation of AI, leaving accountability for action-taking agents underdetermined. This lag interacts with an evidence base young enough that even its meta-analyses are being retracted, and with equity dynamics that risk widening rather than narrowing attainment gaps. The practical implication is convergent across the literature: adoption should be guardrailed, human-in-the-loop, and teacher-mediated, with autonomy deliberately throttled below technical capability where stakes are high.</w:t>
      </w:r>
    </w:p>
    <w:p>
      <w:pPr>
        <w:pStyle w:val="Heading1"/>
        <w:spacing w:after="140" w:before="280"/>
      </w:pPr>
      <w:r>
        <w:rPr>
          <w:rFonts w:ascii="Times New Roman" w:cs="Times New Roman" w:eastAsia="Times New Roman" w:hAnsi="Times New Roman"/>
          <w:b/>
          <w:bCs/>
          <w:sz w:val="26"/>
          <w:szCs w:val="26"/>
        </w:rPr>
        <w:t xml:space="preserve">9. Conclusion</w:t>
      </w:r>
    </w:p>
    <w:p>
      <w:pPr>
        <w:spacing w:after="120" w:line="360"/>
        <w:ind w:firstLine="360"/>
        <w:jc w:val="both"/>
      </w:pPr>
      <w:r>
        <w:rPr>
          <w:rFonts w:ascii="Times New Roman" w:cs="Times New Roman" w:eastAsia="Times New Roman" w:hAnsi="Times New Roman"/>
        </w:rPr>
        <w:t xml:space="preserve">Agentic AI in education is real, fast-moving, and capable, but its benefits are conditional on design. The responsible path forward is neither uncritical adoption nor refusal, but guardrailed, human-in-the-loop, teacher-mediated deployment, paired with the longitudinal evidence and education-specific accountability frameworks the field still lacks. Future work should prioritise rigorous longitudinal trials, standardised autonomy taxonomies, multilingual benchmarks, and accountability mechanisms designed for autonomous, action-taking systems.</w:t>
      </w:r>
    </w:p>
    <w:p>
      <w:pPr>
        <w:pStyle w:val="Heading1"/>
        <w:spacing w:after="140" w:before="280"/>
      </w:pPr>
      <w:r>
        <w:rPr>
          <w:rFonts w:ascii="Times New Roman" w:cs="Times New Roman" w:eastAsia="Times New Roman" w:hAnsi="Times New Roman"/>
          <w:b/>
          <w:bCs/>
          <w:sz w:val="26"/>
          <w:szCs w:val="26"/>
        </w:rPr>
        <w:t xml:space="preserve">Declarations</w:t>
      </w:r>
    </w:p>
    <w:p>
      <w:pPr>
        <w:spacing w:after="100" w:line="320"/>
        <w:jc w:val="both"/>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The author(s) received no specific funding for this work.</w:t>
      </w:r>
    </w:p>
    <w:p>
      <w:pPr>
        <w:spacing w:after="100" w:line="320"/>
        <w:jc w:val="both"/>
      </w:pPr>
      <w:r>
        <w:rPr>
          <w:rFonts w:ascii="Times New Roman" w:cs="Times New Roman" w:eastAsia="Times New Roman" w:hAnsi="Times New Roman"/>
          <w:b/>
          <w:bCs/>
          <w:sz w:val="20"/>
          <w:szCs w:val="20"/>
        </w:rPr>
        <w:t xml:space="preserve">Conflicts of interest: </w:t>
      </w:r>
      <w:r>
        <w:rPr>
          <w:rFonts w:ascii="Times New Roman" w:cs="Times New Roman" w:eastAsia="Times New Roman" w:hAnsi="Times New Roman"/>
          <w:sz w:val="20"/>
          <w:szCs w:val="20"/>
        </w:rPr>
        <w:t xml:space="preserve">The author(s) declare no competing interests.</w:t>
      </w:r>
    </w:p>
    <w:p>
      <w:pPr>
        <w:spacing w:after="100" w:line="320"/>
        <w:jc w:val="both"/>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This review analyses publicly available published sources; no new data were generated. All sources are listed in the References.</w:t>
      </w:r>
    </w:p>
    <w:p>
      <w:pPr>
        <w:spacing w:after="100" w:line="320"/>
        <w:jc w:val="both"/>
      </w:pPr>
      <w:r>
        <w:rPr>
          <w:rFonts w:ascii="Times New Roman" w:cs="Times New Roman" w:eastAsia="Times New Roman" w:hAnsi="Times New Roman"/>
          <w:b/>
          <w:bCs/>
          <w:sz w:val="20"/>
          <w:szCs w:val="20"/>
        </w:rPr>
        <w:t xml:space="preserve">Use of AI tools: </w:t>
      </w:r>
      <w:r>
        <w:rPr>
          <w:rFonts w:ascii="Times New Roman" w:cs="Times New Roman" w:eastAsia="Times New Roman" w:hAnsi="Times New Roman"/>
          <w:sz w:val="20"/>
          <w:szCs w:val="20"/>
        </w:rPr>
        <w:t xml:space="preserve">AI-assisted tooling supported literature retrieval and drafting. All load-bearing empirical claims were independently verified against primary sources via a three-vote adversarial protocol (Section 2.3), and one misattributed statistic was identified and excluded. The author(s) take full responsibility for the content.</w:t>
      </w:r>
    </w:p>
    <w:p>
      <w:pPr>
        <w:pStyle w:val="Heading1"/>
        <w:pageBreakBefore/>
        <w:spacing w:after="160" w:before="120"/>
      </w:pPr>
      <w:r>
        <w:rPr>
          <w:rFonts w:ascii="Times New Roman" w:cs="Times New Roman" w:eastAsia="Times New Roman" w:hAnsi="Times New Roman"/>
          <w:b/>
          <w:bCs/>
          <w:sz w:val="26"/>
          <w:szCs w:val="26"/>
        </w:rPr>
        <w:t xml:space="preserve">References</w:t>
      </w:r>
    </w:p>
    <w:p>
      <w:pPr>
        <w:spacing w:after="100" w:line="300"/>
        <w:ind w:left="720" w:hanging="720"/>
        <w:jc w:val="left"/>
      </w:pPr>
      <w:r>
        <w:rPr>
          <w:rFonts w:ascii="Times New Roman" w:cs="Times New Roman" w:eastAsia="Times New Roman" w:hAnsi="Times New Roman"/>
          <w:sz w:val="20"/>
          <w:szCs w:val="20"/>
        </w:rPr>
        <w:t xml:space="preserve">Agentic AI: Autonomy, accountability, and the algorithmic society. (2025). </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[Preprint]. arXiv:2502.00289. </w:t>
      </w:r>
      <w:hyperlink w:history="1" r:id="rIdxwmxkd4voywto36pnjcpz">
        <w:r>
          <w:rPr>
            <w:rStyle w:val="Hyperlink"/>
            <w:rFonts w:ascii="Times New Roman" w:cs="Times New Roman" w:eastAsia="Times New Roman" w:hAnsi="Times New Roman"/>
          </w:rPr>
          <w:t xml:space="preserve">https://arxiv.org/abs/2502.00289</w:t>
        </w:r>
      </w:hyperlink>
    </w:p>
    <w:p>
      <w:pPr>
        <w:spacing w:after="100" w:line="300"/>
        <w:ind w:left="720" w:hanging="720"/>
        <w:jc w:val="left"/>
      </w:pPr>
      <w:r>
        <w:rPr>
          <w:rFonts w:ascii="Times New Roman" w:cs="Times New Roman" w:eastAsia="Times New Roman" w:hAnsi="Times New Roman"/>
          <w:sz w:val="20"/>
          <w:szCs w:val="20"/>
        </w:rPr>
        <w:t xml:space="preserve">Alqurni, J. (2026). Exploring the role of agentic AI in fostering self-efficacy, autonomy support, and self-learning motivation in higher education. </w:t>
      </w:r>
      <w:r>
        <w:rPr>
          <w:rFonts w:ascii="Times New Roman" w:cs="Times New Roman" w:eastAsia="Times New Roman" w:hAnsi="Times New Roman"/>
          <w:i/>
          <w:iCs/>
          <w:sz w:val="20"/>
          <w:szCs w:val="20"/>
        </w:rPr>
        <w:t xml:space="preserve">Frontiers in Artificial Intelligence, 9</w:t>
      </w:r>
      <w:r>
        <w:rPr>
          <w:rFonts w:ascii="Times New Roman" w:cs="Times New Roman" w:eastAsia="Times New Roman" w:hAnsi="Times New Roman"/>
          <w:sz w:val="20"/>
          <w:szCs w:val="20"/>
        </w:rPr>
        <w:t xml:space="preserve">, Article 1738774. </w:t>
      </w:r>
      <w:hyperlink w:history="1" r:id="rIdgdcqdyh4skp0ppkk0k6nc">
        <w:r>
          <w:rPr>
            <w:rStyle w:val="Hyperlink"/>
            <w:rFonts w:ascii="Times New Roman" w:cs="Times New Roman" w:eastAsia="Times New Roman" w:hAnsi="Times New Roman"/>
          </w:rPr>
          <w:t xml:space="preserve">https://doi.org/10.3389/frai.2026.1738774</w:t>
        </w:r>
      </w:hyperlink>
    </w:p>
    <w:p>
      <w:pPr>
        <w:spacing w:after="100" w:line="300"/>
        <w:ind w:left="720" w:hanging="720"/>
        <w:jc w:val="left"/>
      </w:pPr>
      <w:r>
        <w:rPr>
          <w:rFonts w:ascii="Times New Roman" w:cs="Times New Roman" w:eastAsia="Times New Roman" w:hAnsi="Times New Roman"/>
          <w:sz w:val="20"/>
          <w:szCs w:val="20"/>
        </w:rPr>
        <w:t xml:space="preserve">Bastani, H., Bastani, O., Sungu, A., Ge, H., Kabakcı, Ö., &amp; Mariman, R. (2025). Generative AI without guardrails can harm learning: Evidence from high school mathematics. </w:t>
      </w:r>
      <w:r>
        <w:rPr>
          <w:rFonts w:ascii="Times New Roman" w:cs="Times New Roman" w:eastAsia="Times New Roman" w:hAnsi="Times New Roman"/>
          <w:i/>
          <w:iCs/>
          <w:sz w:val="20"/>
          <w:szCs w:val="20"/>
        </w:rPr>
        <w:t xml:space="preserve">Proceedings of the National Academy of Sciences, 122</w:t>
      </w:r>
      <w:r>
        <w:rPr>
          <w:rFonts w:ascii="Times New Roman" w:cs="Times New Roman" w:eastAsia="Times New Roman" w:hAnsi="Times New Roman"/>
          <w:sz w:val="20"/>
          <w:szCs w:val="20"/>
        </w:rPr>
        <w:t xml:space="preserve">(26), e2422633122. </w:t>
      </w:r>
      <w:hyperlink w:history="1" r:id="rId_8zphpjr7gm6e5kynsap3">
        <w:r>
          <w:rPr>
            <w:rStyle w:val="Hyperlink"/>
            <w:rFonts w:ascii="Times New Roman" w:cs="Times New Roman" w:eastAsia="Times New Roman" w:hAnsi="Times New Roman"/>
          </w:rPr>
          <w:t xml:space="preserve">https://doi.org/10.1073/pnas.2422633122</w:t>
        </w:r>
      </w:hyperlink>
    </w:p>
    <w:p>
      <w:pPr>
        <w:spacing w:after="100" w:line="300"/>
        <w:ind w:left="720" w:hanging="720"/>
        <w:jc w:val="left"/>
      </w:pPr>
      <w:r>
        <w:rPr>
          <w:rFonts w:ascii="Times New Roman" w:cs="Times New Roman" w:eastAsia="Times New Roman" w:hAnsi="Times New Roman"/>
          <w:sz w:val="20"/>
          <w:szCs w:val="20"/>
        </w:rPr>
        <w:t xml:space="preserve">Bittle, K., &amp; El-Gayar, O. (2025). Generative AI and academic integrity in higher education: A systematic review and research agenda. </w:t>
      </w:r>
      <w:r>
        <w:rPr>
          <w:rFonts w:ascii="Times New Roman" w:cs="Times New Roman" w:eastAsia="Times New Roman" w:hAnsi="Times New Roman"/>
          <w:i/>
          <w:iCs/>
          <w:sz w:val="20"/>
          <w:szCs w:val="20"/>
        </w:rPr>
        <w:t xml:space="preserve">Information, 16</w:t>
      </w:r>
      <w:r>
        <w:rPr>
          <w:rFonts w:ascii="Times New Roman" w:cs="Times New Roman" w:eastAsia="Times New Roman" w:hAnsi="Times New Roman"/>
          <w:sz w:val="20"/>
          <w:szCs w:val="20"/>
        </w:rPr>
        <w:t xml:space="preserve">(4), Article 296. </w:t>
      </w:r>
      <w:hyperlink w:history="1" r:id="rId2ihpokzkv3zz277izpt4y">
        <w:r>
          <w:rPr>
            <w:rStyle w:val="Hyperlink"/>
            <w:rFonts w:ascii="Times New Roman" w:cs="Times New Roman" w:eastAsia="Times New Roman" w:hAnsi="Times New Roman"/>
          </w:rPr>
          <w:t xml:space="preserve">https://doi.org/10.3390/info16040296</w:t>
        </w:r>
      </w:hyperlink>
    </w:p>
    <w:p>
      <w:pPr>
        <w:spacing w:after="100" w:line="300"/>
        <w:ind w:left="720" w:hanging="720"/>
        <w:jc w:val="left"/>
      </w:pPr>
      <w:r>
        <w:rPr>
          <w:rFonts w:ascii="Times New Roman" w:cs="Times New Roman" w:eastAsia="Times New Roman" w:hAnsi="Times New Roman"/>
          <w:sz w:val="20"/>
          <w:szCs w:val="20"/>
        </w:rPr>
        <w:t xml:space="preserve">Cheng, L., Shi, H., Wu, Y., &amp; Li, F. (2026). Do generative AI-powered pedagogical agents improve learners’ academic performance effectively? Evidence from meta-analysis. </w:t>
      </w:r>
      <w:r>
        <w:rPr>
          <w:rFonts w:ascii="Times New Roman" w:cs="Times New Roman" w:eastAsia="Times New Roman" w:hAnsi="Times New Roman"/>
          <w:i/>
          <w:iCs/>
          <w:sz w:val="20"/>
          <w:szCs w:val="20"/>
        </w:rPr>
        <w:t xml:space="preserve">Journal of Educational Computing Research</w:t>
      </w:r>
      <w:r>
        <w:rPr>
          <w:rFonts w:ascii="Times New Roman" w:cs="Times New Roman" w:eastAsia="Times New Roman" w:hAnsi="Times New Roman"/>
          <w:sz w:val="20"/>
          <w:szCs w:val="20"/>
        </w:rPr>
        <w:t xml:space="preserve">. Advance online publication. </w:t>
      </w:r>
      <w:hyperlink w:history="1" r:id="rId32vrc7j_fmthtiegdpow1">
        <w:r>
          <w:rPr>
            <w:rStyle w:val="Hyperlink"/>
            <w:rFonts w:ascii="Times New Roman" w:cs="Times New Roman" w:eastAsia="Times New Roman" w:hAnsi="Times New Roman"/>
          </w:rPr>
          <w:t xml:space="preserve">https://doi.org/10.1177/07356331251400540</w:t>
        </w:r>
      </w:hyperlink>
    </w:p>
    <w:p>
      <w:pPr>
        <w:spacing w:after="100" w:line="300"/>
        <w:ind w:left="720" w:hanging="720"/>
        <w:jc w:val="left"/>
      </w:pPr>
      <w:r>
        <w:rPr>
          <w:rFonts w:ascii="Times New Roman" w:cs="Times New Roman" w:eastAsia="Times New Roman" w:hAnsi="Times New Roman"/>
          <w:sz w:val="20"/>
          <w:szCs w:val="20"/>
        </w:rPr>
        <w:t xml:space="preserve">Chu, Z., Wang, S., Xie, J., Zhu, T., Yan, Y., Ye, J., Zhong, A., Hu, X., Liang, J., Yu, P. S., &amp; Wen, Q. (2025). LLM agents for education: Advances and applications. In </w:t>
      </w:r>
      <w:r>
        <w:rPr>
          <w:rFonts w:ascii="Times New Roman" w:cs="Times New Roman" w:eastAsia="Times New Roman" w:hAnsi="Times New Roman"/>
          <w:i/>
          <w:iCs/>
          <w:sz w:val="20"/>
          <w:szCs w:val="20"/>
        </w:rPr>
        <w:t xml:space="preserve">Findings of the Association for Computational Linguistics: EMNLP 2025</w:t>
      </w:r>
      <w:r>
        <w:rPr>
          <w:rFonts w:ascii="Times New Roman" w:cs="Times New Roman" w:eastAsia="Times New Roman" w:hAnsi="Times New Roman"/>
          <w:sz w:val="20"/>
          <w:szCs w:val="20"/>
        </w:rPr>
        <w:t xml:space="preserve"> (pp. 13782–13810). Association for Computational Linguistics. </w:t>
      </w:r>
      <w:hyperlink w:history="1" r:id="rIdruqcb588oapehj7m1mbwj">
        <w:r>
          <w:rPr>
            <w:rStyle w:val="Hyperlink"/>
            <w:rFonts w:ascii="Times New Roman" w:cs="Times New Roman" w:eastAsia="Times New Roman" w:hAnsi="Times New Roman"/>
          </w:rPr>
          <w:t xml:space="preserve">https://aclanthology.org/2025.findings-emnlp.743/</w:t>
        </w:r>
      </w:hyperlink>
    </w:p>
    <w:p>
      <w:pPr>
        <w:spacing w:after="100" w:line="300"/>
        <w:ind w:left="720" w:hanging="720"/>
        <w:jc w:val="left"/>
      </w:pPr>
      <w:r>
        <w:rPr>
          <w:rFonts w:ascii="Times New Roman" w:cs="Times New Roman" w:eastAsia="Times New Roman" w:hAnsi="Times New Roman"/>
          <w:sz w:val="20"/>
          <w:szCs w:val="20"/>
        </w:rPr>
        <w:t xml:space="preserve">De Simone, M. E., Tiberti, F., Mosuro, W., Manolio, F., Barron, M., &amp; Dikoru, E. (2025). </w:t>
      </w:r>
      <w:r>
        <w:rPr>
          <w:rFonts w:ascii="Times New Roman" w:cs="Times New Roman" w:eastAsia="Times New Roman" w:hAnsi="Times New Roman"/>
          <w:i/>
          <w:iCs/>
          <w:sz w:val="20"/>
          <w:szCs w:val="20"/>
        </w:rPr>
        <w:t xml:space="preserve">From chalkboards to chatbots: Evaluating the impact of generative AI on learning outcomes in Nigeria</w:t>
      </w:r>
      <w:r>
        <w:rPr>
          <w:rFonts w:ascii="Times New Roman" w:cs="Times New Roman" w:eastAsia="Times New Roman" w:hAnsi="Times New Roman"/>
          <w:sz w:val="20"/>
          <w:szCs w:val="20"/>
        </w:rPr>
        <w:t xml:space="preserve"> (Policy Research Working Paper No. 11125). World Bank. </w:t>
      </w:r>
      <w:hyperlink w:history="1" r:id="rId7klpf_mzgc4kxi_zhawhu">
        <w:r>
          <w:rPr>
            <w:rStyle w:val="Hyperlink"/>
            <w:rFonts w:ascii="Times New Roman" w:cs="Times New Roman" w:eastAsia="Times New Roman" w:hAnsi="Times New Roman"/>
          </w:rPr>
          <w:t xml:space="preserve">https://documents.worldbank.org/en/publication/documents-reports/documentdetail/099548105192529324</w:t>
        </w:r>
      </w:hyperlink>
    </w:p>
    <w:p>
      <w:pPr>
        <w:spacing w:after="100" w:line="300"/>
        <w:ind w:left="720" w:hanging="720"/>
        <w:jc w:val="left"/>
      </w:pPr>
      <w:r>
        <w:rPr>
          <w:rFonts w:ascii="Times New Roman" w:cs="Times New Roman" w:eastAsia="Times New Roman" w:hAnsi="Times New Roman"/>
          <w:sz w:val="20"/>
          <w:szCs w:val="20"/>
        </w:rPr>
        <w:t xml:space="preserve">European Parliament &amp; Council of the European Union. (2024). </w:t>
      </w:r>
      <w:r>
        <w:rPr>
          <w:rFonts w:ascii="Times New Roman" w:cs="Times New Roman" w:eastAsia="Times New Roman" w:hAnsi="Times New Roman"/>
          <w:i/>
          <w:iCs/>
          <w:sz w:val="20"/>
          <w:szCs w:val="20"/>
        </w:rPr>
        <w:t xml:space="preserve">Regulation (EU) 2024/1689 laying down harmonised rules on artificial intelligence (Artificial Intelligence Act)</w:t>
      </w:r>
      <w:r>
        <w:rPr>
          <w:rFonts w:ascii="Times New Roman" w:cs="Times New Roman" w:eastAsia="Times New Roman" w:hAnsi="Times New Roman"/>
          <w:sz w:val="20"/>
          <w:szCs w:val="20"/>
        </w:rPr>
        <w:t xml:space="preserve">. Official Journal of the European Union, L 2024/1689. </w:t>
      </w:r>
      <w:hyperlink w:history="1" r:id="rIdrun7zts-hm3i0pl3tniaj">
        <w:r>
          <w:rPr>
            <w:rStyle w:val="Hyperlink"/>
            <w:rFonts w:ascii="Times New Roman" w:cs="Times New Roman" w:eastAsia="Times New Roman" w:hAnsi="Times New Roman"/>
          </w:rPr>
          <w:t xml:space="preserve">http://data.europa.eu/eli/reg/2024/1689/oj</w:t>
        </w:r>
      </w:hyperlink>
    </w:p>
    <w:p>
      <w:pPr>
        <w:spacing w:after="100" w:line="300"/>
        <w:ind w:left="720" w:hanging="720"/>
        <w:jc w:val="left"/>
      </w:pPr>
      <w:r>
        <w:rPr>
          <w:rFonts w:ascii="Times New Roman" w:cs="Times New Roman" w:eastAsia="Times New Roman" w:hAnsi="Times New Roman"/>
          <w:sz w:val="20"/>
          <w:szCs w:val="20"/>
        </w:rPr>
        <w:t xml:space="preserve">Fan, Y., Tang, L., Le, H., Shen, K., Tan, S., Zhao, Y., Shen, Y., Li, X., &amp; Gašević, D. (2025). Beware of metacognitive laziness: Effects of generative artificial intelligence on learning motivation, processes, and performance. </w:t>
      </w:r>
      <w:r>
        <w:rPr>
          <w:rFonts w:ascii="Times New Roman" w:cs="Times New Roman" w:eastAsia="Times New Roman" w:hAnsi="Times New Roman"/>
          <w:i/>
          <w:iCs/>
          <w:sz w:val="20"/>
          <w:szCs w:val="20"/>
        </w:rPr>
        <w:t xml:space="preserve">British Journal of Educational Technology, 56</w:t>
      </w:r>
      <w:r>
        <w:rPr>
          <w:rFonts w:ascii="Times New Roman" w:cs="Times New Roman" w:eastAsia="Times New Roman" w:hAnsi="Times New Roman"/>
          <w:sz w:val="20"/>
          <w:szCs w:val="20"/>
        </w:rPr>
        <w:t xml:space="preserve">(2), 489–530. </w:t>
      </w:r>
      <w:hyperlink w:history="1" r:id="rId09eios7tnonhioct9vcde">
        <w:r>
          <w:rPr>
            <w:rStyle w:val="Hyperlink"/>
            <w:rFonts w:ascii="Times New Roman" w:cs="Times New Roman" w:eastAsia="Times New Roman" w:hAnsi="Times New Roman"/>
          </w:rPr>
          <w:t xml:space="preserve">https://doi.org/10.1111/bjet.13544</w:t>
        </w:r>
      </w:hyperlink>
    </w:p>
    <w:p>
      <w:pPr>
        <w:spacing w:after="100" w:line="300"/>
        <w:ind w:left="720" w:hanging="720"/>
        <w:jc w:val="left"/>
      </w:pPr>
      <w:r>
        <w:rPr>
          <w:rFonts w:ascii="Times New Roman" w:cs="Times New Roman" w:eastAsia="Times New Roman" w:hAnsi="Times New Roman"/>
          <w:sz w:val="20"/>
          <w:szCs w:val="20"/>
        </w:rPr>
        <w:t xml:space="preserve">Georgia Institute of Technology. (2025, September 2). </w:t>
      </w:r>
      <w:r>
        <w:rPr>
          <w:rFonts w:ascii="Times New Roman" w:cs="Times New Roman" w:eastAsia="Times New Roman" w:hAnsi="Times New Roman"/>
          <w:i/>
          <w:iCs/>
          <w:sz w:val="20"/>
          <w:szCs w:val="20"/>
        </w:rPr>
        <w:t xml:space="preserve">Georgia Tech’s Jill Watson outperforms ChatGPT in real classrooms</w:t>
      </w:r>
      <w:r>
        <w:rPr>
          <w:rFonts w:ascii="Times New Roman" w:cs="Times New Roman" w:eastAsia="Times New Roman" w:hAnsi="Times New Roman"/>
          <w:sz w:val="20"/>
          <w:szCs w:val="20"/>
        </w:rPr>
        <w:t xml:space="preserve">. Georgia Tech Research News. </w:t>
      </w:r>
      <w:hyperlink w:history="1" r:id="rIddsvb77btak-ug2f8a3fqg">
        <w:r>
          <w:rPr>
            <w:rStyle w:val="Hyperlink"/>
            <w:rFonts w:ascii="Times New Roman" w:cs="Times New Roman" w:eastAsia="Times New Roman" w:hAnsi="Times New Roman"/>
          </w:rPr>
          <w:t xml:space="preserve">https://news.research.gatech.edu/2025/09/02/georgia-techs-jill-watson-outperforms-chatgpt-real-classrooms</w:t>
        </w:r>
      </w:hyperlink>
    </w:p>
    <w:p>
      <w:pPr>
        <w:spacing w:after="100" w:line="300"/>
        <w:ind w:left="720" w:hanging="720"/>
        <w:jc w:val="left"/>
      </w:pPr>
      <w:r>
        <w:rPr>
          <w:rFonts w:ascii="Times New Roman" w:cs="Times New Roman" w:eastAsia="Times New Roman" w:hAnsi="Times New Roman"/>
          <w:sz w:val="20"/>
          <w:szCs w:val="20"/>
        </w:rPr>
        <w:t xml:space="preserve">Guan, X., Zheng, M., Gašević, D., Guo, W., Liu, Y., Han, X., Ma, R., Wu, Q., &amp; Yan, L. (2026). </w:t>
      </w:r>
      <w:r>
        <w:rPr>
          <w:rFonts w:ascii="Times New Roman" w:cs="Times New Roman" w:eastAsia="Times New Roman" w:hAnsi="Times New Roman"/>
          <w:i/>
          <w:iCs/>
          <w:sz w:val="20"/>
          <w:szCs w:val="20"/>
        </w:rPr>
        <w:t xml:space="preserve">From school AI readiness to student AI literacy: A national multilevel mediation analysis of institutional capacity and teacher capability</w:t>
      </w:r>
      <w:r>
        <w:rPr>
          <w:rFonts w:ascii="Times New Roman" w:cs="Times New Roman" w:eastAsia="Times New Roman" w:hAnsi="Times New Roman"/>
          <w:sz w:val="20"/>
          <w:szCs w:val="20"/>
        </w:rPr>
        <w:t xml:space="preserve"> [Preprint]. arXiv:2603.20056. </w:t>
      </w:r>
      <w:hyperlink w:history="1" r:id="rIdxno591z2bqdvusnxtdhip">
        <w:r>
          <w:rPr>
            <w:rStyle w:val="Hyperlink"/>
            <w:rFonts w:ascii="Times New Roman" w:cs="Times New Roman" w:eastAsia="Times New Roman" w:hAnsi="Times New Roman"/>
          </w:rPr>
          <w:t xml:space="preserve">https://arxiv.org/abs/2603.20056</w:t>
        </w:r>
      </w:hyperlink>
    </w:p>
    <w:p>
      <w:pPr>
        <w:spacing w:after="100" w:line="300"/>
        <w:ind w:left="720" w:hanging="720"/>
        <w:jc w:val="left"/>
      </w:pPr>
      <w:r>
        <w:rPr>
          <w:rFonts w:ascii="Times New Roman" w:cs="Times New Roman" w:eastAsia="Times New Roman" w:hAnsi="Times New Roman"/>
          <w:sz w:val="20"/>
          <w:szCs w:val="20"/>
        </w:rPr>
        <w:t xml:space="preserve">Hon, K. L. (2026). Generative AI in higher education: A systematic review of its effects on learning outcomes and academic performance. </w:t>
      </w:r>
      <w:r>
        <w:rPr>
          <w:rFonts w:ascii="Times New Roman" w:cs="Times New Roman" w:eastAsia="Times New Roman" w:hAnsi="Times New Roman"/>
          <w:i/>
          <w:iCs/>
          <w:sz w:val="20"/>
          <w:szCs w:val="20"/>
        </w:rPr>
        <w:t xml:space="preserve">Journal of Educational Technology Systems</w:t>
      </w:r>
      <w:r>
        <w:rPr>
          <w:rFonts w:ascii="Times New Roman" w:cs="Times New Roman" w:eastAsia="Times New Roman" w:hAnsi="Times New Roman"/>
          <w:sz w:val="20"/>
          <w:szCs w:val="20"/>
        </w:rPr>
        <w:t xml:space="preserve">. Advance online publication. </w:t>
      </w:r>
      <w:hyperlink w:history="1" r:id="rIdbruyjzrwmckqu0mtpty7j">
        <w:r>
          <w:rPr>
            <w:rStyle w:val="Hyperlink"/>
            <w:rFonts w:ascii="Times New Roman" w:cs="Times New Roman" w:eastAsia="Times New Roman" w:hAnsi="Times New Roman"/>
          </w:rPr>
          <w:t xml:space="preserve">https://doi.org/10.1177/00472395251400089</w:t>
        </w:r>
      </w:hyperlink>
    </w:p>
    <w:p>
      <w:pPr>
        <w:spacing w:after="100" w:line="300"/>
        <w:ind w:left="720" w:hanging="720"/>
        <w:jc w:val="left"/>
      </w:pPr>
      <w:r>
        <w:rPr>
          <w:rFonts w:ascii="Times New Roman" w:cs="Times New Roman" w:eastAsia="Times New Roman" w:hAnsi="Times New Roman"/>
          <w:sz w:val="20"/>
          <w:szCs w:val="20"/>
        </w:rPr>
        <w:t xml:space="preserve">Kamalov, F., Santandreu Calonge, D., Smail, L., Azizov, D., Thadani, D. R., Kwong, T., &amp; Atif, A. (2025). </w:t>
      </w:r>
      <w:r>
        <w:rPr>
          <w:rFonts w:ascii="Times New Roman" w:cs="Times New Roman" w:eastAsia="Times New Roman" w:hAnsi="Times New Roman"/>
          <w:i/>
          <w:iCs/>
          <w:sz w:val="20"/>
          <w:szCs w:val="20"/>
        </w:rPr>
        <w:t xml:space="preserve">Evolution of AI in education: Agentic workflows</w:t>
      </w:r>
      <w:r>
        <w:rPr>
          <w:rFonts w:ascii="Times New Roman" w:cs="Times New Roman" w:eastAsia="Times New Roman" w:hAnsi="Times New Roman"/>
          <w:sz w:val="20"/>
          <w:szCs w:val="20"/>
        </w:rPr>
        <w:t xml:space="preserve"> [Preprint]. arXiv:2504.20082. </w:t>
      </w:r>
      <w:hyperlink w:history="1" r:id="rId6pr4721_rnobdqe7bc1zj">
        <w:r>
          <w:rPr>
            <w:rStyle w:val="Hyperlink"/>
            <w:rFonts w:ascii="Times New Roman" w:cs="Times New Roman" w:eastAsia="Times New Roman" w:hAnsi="Times New Roman"/>
          </w:rPr>
          <w:t xml:space="preserve">https://arxiv.org/abs/2504.20082</w:t>
        </w:r>
      </w:hyperlink>
    </w:p>
    <w:p>
      <w:pPr>
        <w:spacing w:after="100" w:line="300"/>
        <w:ind w:left="720" w:hanging="720"/>
        <w:jc w:val="left"/>
      </w:pPr>
      <w:r>
        <w:rPr>
          <w:rFonts w:ascii="Times New Roman" w:cs="Times New Roman" w:eastAsia="Times New Roman" w:hAnsi="Times New Roman"/>
          <w:sz w:val="20"/>
          <w:szCs w:val="20"/>
        </w:rPr>
        <w:t xml:space="preserve">Kestin, G., Miller, K., Klales, A., Milbourne, T., &amp; Ponti, G. (2025). AI tutoring outperforms in-class active learning: An RCT introducing a novel research-based design in an authentic educational setting. </w:t>
      </w:r>
      <w:r>
        <w:rPr>
          <w:rFonts w:ascii="Times New Roman" w:cs="Times New Roman" w:eastAsia="Times New Roman" w:hAnsi="Times New Roman"/>
          <w:i/>
          <w:iCs/>
          <w:sz w:val="20"/>
          <w:szCs w:val="20"/>
        </w:rPr>
        <w:t xml:space="preserve">Scientific Reports, 15</w:t>
      </w:r>
      <w:r>
        <w:rPr>
          <w:rFonts w:ascii="Times New Roman" w:cs="Times New Roman" w:eastAsia="Times New Roman" w:hAnsi="Times New Roman"/>
          <w:sz w:val="20"/>
          <w:szCs w:val="20"/>
        </w:rPr>
        <w:t xml:space="preserve">, Article 17458. </w:t>
      </w:r>
      <w:hyperlink w:history="1" r:id="rIdusrvcnmqhhyelgk1ctswr">
        <w:r>
          <w:rPr>
            <w:rStyle w:val="Hyperlink"/>
            <w:rFonts w:ascii="Times New Roman" w:cs="Times New Roman" w:eastAsia="Times New Roman" w:hAnsi="Times New Roman"/>
          </w:rPr>
          <w:t xml:space="preserve">https://doi.org/10.1038/s41598-025-97652-6</w:t>
        </w:r>
      </w:hyperlink>
    </w:p>
    <w:p>
      <w:pPr>
        <w:spacing w:after="100" w:line="300"/>
        <w:ind w:left="720" w:hanging="720"/>
        <w:jc w:val="left"/>
      </w:pPr>
      <w:r>
        <w:rPr>
          <w:rFonts w:ascii="Times New Roman" w:cs="Times New Roman" w:eastAsia="Times New Roman" w:hAnsi="Times New Roman"/>
          <w:sz w:val="20"/>
          <w:szCs w:val="20"/>
        </w:rPr>
        <w:t xml:space="preserve">Kosmyna, N., Hauptmann, E., Yuan, Y. T., Situ, J., Liao, X.-H., Beresnitzky, A. V., Braunstein, I., &amp; Maes, P. (2025). </w:t>
      </w:r>
      <w:r>
        <w:rPr>
          <w:rFonts w:ascii="Times New Roman" w:cs="Times New Roman" w:eastAsia="Times New Roman" w:hAnsi="Times New Roman"/>
          <w:i/>
          <w:iCs/>
          <w:sz w:val="20"/>
          <w:szCs w:val="20"/>
        </w:rPr>
        <w:t xml:space="preserve">Your brain on ChatGPT: Accumulation of cognitive debt when using an AI assistant for essay writing task</w:t>
      </w:r>
      <w:r>
        <w:rPr>
          <w:rFonts w:ascii="Times New Roman" w:cs="Times New Roman" w:eastAsia="Times New Roman" w:hAnsi="Times New Roman"/>
          <w:sz w:val="20"/>
          <w:szCs w:val="20"/>
        </w:rPr>
        <w:t xml:space="preserve"> [Preprint]. arXiv:2506.08872. </w:t>
      </w:r>
      <w:hyperlink w:history="1" r:id="rId8xtpoyijmvj8pvawav4yo">
        <w:r>
          <w:rPr>
            <w:rStyle w:val="Hyperlink"/>
            <w:rFonts w:ascii="Times New Roman" w:cs="Times New Roman" w:eastAsia="Times New Roman" w:hAnsi="Times New Roman"/>
          </w:rPr>
          <w:t xml:space="preserve">https://doi.org/10.48550/arXiv.2506.08872</w:t>
        </w:r>
      </w:hyperlink>
    </w:p>
    <w:p>
      <w:pPr>
        <w:spacing w:after="100" w:line="300"/>
        <w:ind w:left="720" w:hanging="720"/>
        <w:jc w:val="left"/>
      </w:pPr>
      <w:r>
        <w:rPr>
          <w:rFonts w:ascii="Times New Roman" w:cs="Times New Roman" w:eastAsia="Times New Roman" w:hAnsi="Times New Roman"/>
          <w:sz w:val="20"/>
          <w:szCs w:val="20"/>
        </w:rPr>
        <w:t xml:space="preserve">Levels of autonomy for AI agents. (2025). </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[Preprint]. arXiv:2506.12469. </w:t>
      </w:r>
      <w:hyperlink w:history="1" r:id="rIdl5wc97w5t9c1649ei5bem">
        <w:r>
          <w:rPr>
            <w:rStyle w:val="Hyperlink"/>
            <w:rFonts w:ascii="Times New Roman" w:cs="Times New Roman" w:eastAsia="Times New Roman" w:hAnsi="Times New Roman"/>
          </w:rPr>
          <w:t xml:space="preserve">https://arxiv.org/abs/2506.12469</w:t>
        </w:r>
      </w:hyperlink>
    </w:p>
    <w:p>
      <w:pPr>
        <w:spacing w:after="100" w:line="300"/>
        <w:ind w:left="720" w:hanging="720"/>
        <w:jc w:val="left"/>
      </w:pPr>
      <w:r>
        <w:rPr>
          <w:rFonts w:ascii="Times New Roman" w:cs="Times New Roman" w:eastAsia="Times New Roman" w:hAnsi="Times New Roman"/>
          <w:sz w:val="20"/>
          <w:szCs w:val="20"/>
        </w:rPr>
        <w:t xml:space="preserve">Liu, X., et al. (2026). </w:t>
      </w:r>
      <w:r>
        <w:rPr>
          <w:rFonts w:ascii="Times New Roman" w:cs="Times New Roman" w:eastAsia="Times New Roman" w:hAnsi="Times New Roman"/>
          <w:i/>
          <w:iCs/>
          <w:sz w:val="20"/>
          <w:szCs w:val="20"/>
        </w:rPr>
        <w:t xml:space="preserve">AgentHallu: Benchmarking automated hallucination attribution of LLM-based agents</w:t>
      </w:r>
      <w:r>
        <w:rPr>
          <w:rFonts w:ascii="Times New Roman" w:cs="Times New Roman" w:eastAsia="Times New Roman" w:hAnsi="Times New Roman"/>
          <w:sz w:val="20"/>
          <w:szCs w:val="20"/>
        </w:rPr>
        <w:t xml:space="preserve"> [Preprint]. arXiv:2601.06818. </w:t>
      </w:r>
      <w:hyperlink w:history="1" r:id="rIdplnb_8wtjdppjnrfvkaml">
        <w:r>
          <w:rPr>
            <w:rStyle w:val="Hyperlink"/>
            <w:rFonts w:ascii="Times New Roman" w:cs="Times New Roman" w:eastAsia="Times New Roman" w:hAnsi="Times New Roman"/>
          </w:rPr>
          <w:t xml:space="preserve">https://arxiv.org/abs/2601.06818</w:t>
        </w:r>
      </w:hyperlink>
    </w:p>
    <w:p>
      <w:pPr>
        <w:spacing w:after="100" w:line="300"/>
        <w:ind w:left="720" w:hanging="720"/>
        <w:jc w:val="left"/>
      </w:pPr>
      <w:r>
        <w:rPr>
          <w:rFonts w:ascii="Times New Roman" w:cs="Times New Roman" w:eastAsia="Times New Roman" w:hAnsi="Times New Roman"/>
          <w:sz w:val="20"/>
          <w:szCs w:val="20"/>
        </w:rPr>
        <w:t xml:space="preserve">Liu, Z., Zuo, H., &amp; Lu, Y. (2025). The impact of ChatGPT on students’ academic achievement: A meta-analysis. </w:t>
      </w:r>
      <w:r>
        <w:rPr>
          <w:rFonts w:ascii="Times New Roman" w:cs="Times New Roman" w:eastAsia="Times New Roman" w:hAnsi="Times New Roman"/>
          <w:i/>
          <w:iCs/>
          <w:sz w:val="20"/>
          <w:szCs w:val="20"/>
        </w:rPr>
        <w:t xml:space="preserve">Journal of Computer Assisted Learning, 41</w:t>
      </w:r>
      <w:r>
        <w:rPr>
          <w:rFonts w:ascii="Times New Roman" w:cs="Times New Roman" w:eastAsia="Times New Roman" w:hAnsi="Times New Roman"/>
          <w:sz w:val="20"/>
          <w:szCs w:val="20"/>
        </w:rPr>
        <w:t xml:space="preserve">(4), e70096. </w:t>
      </w:r>
      <w:hyperlink w:history="1" r:id="rId3vbqjy4p_gzsbifnouqxj">
        <w:r>
          <w:rPr>
            <w:rStyle w:val="Hyperlink"/>
            <w:rFonts w:ascii="Times New Roman" w:cs="Times New Roman" w:eastAsia="Times New Roman" w:hAnsi="Times New Roman"/>
          </w:rPr>
          <w:t xml:space="preserve">https://doi.org/10.1111/jcal.70096</w:t>
        </w:r>
      </w:hyperlink>
    </w:p>
    <w:p>
      <w:pPr>
        <w:spacing w:after="100" w:line="300"/>
        <w:ind w:left="720" w:hanging="720"/>
        <w:jc w:val="left"/>
      </w:pPr>
      <w:r>
        <w:rPr>
          <w:rFonts w:ascii="Times New Roman" w:cs="Times New Roman" w:eastAsia="Times New Roman" w:hAnsi="Times New Roman"/>
          <w:sz w:val="20"/>
          <w:szCs w:val="20"/>
        </w:rPr>
        <w:t xml:space="preserve">Logachev, M. (2026). Artificial intelligence in educational assignments: Issues of academic integrity. </w:t>
      </w:r>
      <w:r>
        <w:rPr>
          <w:rFonts w:ascii="Times New Roman" w:cs="Times New Roman" w:eastAsia="Times New Roman" w:hAnsi="Times New Roman"/>
          <w:i/>
          <w:iCs/>
          <w:sz w:val="20"/>
          <w:szCs w:val="20"/>
        </w:rPr>
        <w:t xml:space="preserve">Frontiers in Computer Science, 8</w:t>
      </w:r>
      <w:r>
        <w:rPr>
          <w:rFonts w:ascii="Times New Roman" w:cs="Times New Roman" w:eastAsia="Times New Roman" w:hAnsi="Times New Roman"/>
          <w:sz w:val="20"/>
          <w:szCs w:val="20"/>
        </w:rPr>
        <w:t xml:space="preserve">, Article 1729059. </w:t>
      </w:r>
      <w:hyperlink w:history="1" r:id="rIduw813kv53t7hh-sejtxkv">
        <w:r>
          <w:rPr>
            <w:rStyle w:val="Hyperlink"/>
            <w:rFonts w:ascii="Times New Roman" w:cs="Times New Roman" w:eastAsia="Times New Roman" w:hAnsi="Times New Roman"/>
          </w:rPr>
          <w:t xml:space="preserve">https://doi.org/10.3389/fcomp.2026.1729059</w:t>
        </w:r>
      </w:hyperlink>
    </w:p>
    <w:p>
      <w:pPr>
        <w:spacing w:after="100" w:line="300"/>
        <w:ind w:left="720" w:hanging="720"/>
        <w:jc w:val="left"/>
      </w:pPr>
      <w:r>
        <w:rPr>
          <w:rFonts w:ascii="Times New Roman" w:cs="Times New Roman" w:eastAsia="Times New Roman" w:hAnsi="Times New Roman"/>
          <w:sz w:val="20"/>
          <w:szCs w:val="20"/>
        </w:rPr>
        <w:t xml:space="preserve">Matjie, M. A., Nethavhani, A., &amp; Matlakala, M. (2026). AI and the digital divide in education. </w:t>
      </w:r>
      <w:r>
        <w:rPr>
          <w:rFonts w:ascii="Times New Roman" w:cs="Times New Roman" w:eastAsia="Times New Roman" w:hAnsi="Times New Roman"/>
          <w:i/>
          <w:iCs/>
          <w:sz w:val="20"/>
          <w:szCs w:val="20"/>
        </w:rPr>
        <w:t xml:space="preserve">Frontiers in Computer Science, 8</w:t>
      </w:r>
      <w:r>
        <w:rPr>
          <w:rFonts w:ascii="Times New Roman" w:cs="Times New Roman" w:eastAsia="Times New Roman" w:hAnsi="Times New Roman"/>
          <w:sz w:val="20"/>
          <w:szCs w:val="20"/>
        </w:rPr>
        <w:t xml:space="preserve">, Article 1759027. </w:t>
      </w:r>
      <w:hyperlink w:history="1" r:id="rIdu16wv9puxkaon8ttu63-c">
        <w:r>
          <w:rPr>
            <w:rStyle w:val="Hyperlink"/>
            <w:rFonts w:ascii="Times New Roman" w:cs="Times New Roman" w:eastAsia="Times New Roman" w:hAnsi="Times New Roman"/>
          </w:rPr>
          <w:t xml:space="preserve">https://doi.org/10.3389/fcomp.2026.1759027</w:t>
        </w:r>
      </w:hyperlink>
    </w:p>
    <w:p>
      <w:pPr>
        <w:spacing w:after="100" w:line="300"/>
        <w:ind w:left="720" w:hanging="720"/>
        <w:jc w:val="left"/>
      </w:pPr>
      <w:r>
        <w:rPr>
          <w:rFonts w:ascii="Times New Roman" w:cs="Times New Roman" w:eastAsia="Times New Roman" w:hAnsi="Times New Roman"/>
          <w:sz w:val="20"/>
          <w:szCs w:val="20"/>
        </w:rPr>
        <w:t xml:space="preserve">OECD. (2023). </w:t>
      </w:r>
      <w:r>
        <w:rPr>
          <w:rFonts w:ascii="Times New Roman" w:cs="Times New Roman" w:eastAsia="Times New Roman" w:hAnsi="Times New Roman"/>
          <w:i/>
          <w:iCs/>
          <w:sz w:val="20"/>
          <w:szCs w:val="20"/>
        </w:rPr>
        <w:t xml:space="preserve">OECD Digital Education Outlook 2023: Towards an effective digital education ecosystem</w:t>
      </w:r>
      <w:r>
        <w:rPr>
          <w:rFonts w:ascii="Times New Roman" w:cs="Times New Roman" w:eastAsia="Times New Roman" w:hAnsi="Times New Roman"/>
          <w:sz w:val="20"/>
          <w:szCs w:val="20"/>
        </w:rPr>
        <w:t xml:space="preserve">. OECD Publishing. </w:t>
      </w:r>
      <w:hyperlink w:history="1" r:id="rIdhotjylmnlvvi0xdct4paz">
        <w:r>
          <w:rPr>
            <w:rStyle w:val="Hyperlink"/>
            <w:rFonts w:ascii="Times New Roman" w:cs="Times New Roman" w:eastAsia="Times New Roman" w:hAnsi="Times New Roman"/>
          </w:rPr>
          <w:t xml:space="preserve">https://doi.org/10.1787/c74f03de-en</w:t>
        </w:r>
      </w:hyperlink>
    </w:p>
    <w:p>
      <w:pPr>
        <w:spacing w:after="100" w:line="300"/>
        <w:ind w:left="720" w:hanging="720"/>
        <w:jc w:val="left"/>
      </w:pPr>
      <w:r>
        <w:rPr>
          <w:rFonts w:ascii="Times New Roman" w:cs="Times New Roman" w:eastAsia="Times New Roman" w:hAnsi="Times New Roman"/>
          <w:sz w:val="20"/>
          <w:szCs w:val="20"/>
        </w:rPr>
        <w:t xml:space="preserve">OnlineMate: An LLM-based multi-agent companion system for cognitive support in online learning. (2025). </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[Preprint]. arXiv:2509.14803. </w:t>
      </w:r>
      <w:hyperlink w:history="1" r:id="rIdjrh3lugfkt7suoivluxfj">
        <w:r>
          <w:rPr>
            <w:rStyle w:val="Hyperlink"/>
            <w:rFonts w:ascii="Times New Roman" w:cs="Times New Roman" w:eastAsia="Times New Roman" w:hAnsi="Times New Roman"/>
          </w:rPr>
          <w:t xml:space="preserve">https://arxiv.org/abs/2509.14803</w:t>
        </w:r>
      </w:hyperlink>
    </w:p>
    <w:p>
      <w:pPr>
        <w:spacing w:after="100" w:line="300"/>
        <w:ind w:left="720" w:hanging="720"/>
        <w:jc w:val="left"/>
      </w:pPr>
      <w:r>
        <w:rPr>
          <w:rFonts w:ascii="Times New Roman" w:cs="Times New Roman" w:eastAsia="Times New Roman" w:hAnsi="Times New Roman"/>
          <w:sz w:val="20"/>
          <w:szCs w:val="20"/>
        </w:rPr>
        <w:t xml:space="preserve">Retraction note: The effect of ChatGPT on students’ learning performance, learning perception, and higher-order thinking. (2026). </w:t>
      </w:r>
      <w:r>
        <w:rPr>
          <w:rFonts w:ascii="Times New Roman" w:cs="Times New Roman" w:eastAsia="Times New Roman" w:hAnsi="Times New Roman"/>
          <w:i/>
          <w:iCs/>
          <w:sz w:val="20"/>
          <w:szCs w:val="20"/>
        </w:rPr>
        <w:t xml:space="preserve">Humanities and Social Sciences Communications, 13</w:t>
      </w:r>
      <w:r>
        <w:rPr>
          <w:rFonts w:ascii="Times New Roman" w:cs="Times New Roman" w:eastAsia="Times New Roman" w:hAnsi="Times New Roman"/>
          <w:sz w:val="20"/>
          <w:szCs w:val="20"/>
        </w:rPr>
        <w:t xml:space="preserve">(1). </w:t>
      </w:r>
      <w:hyperlink w:history="1" r:id="rIdoiusu7tywyc2thdgqikym">
        <w:r>
          <w:rPr>
            <w:rStyle w:val="Hyperlink"/>
            <w:rFonts w:ascii="Times New Roman" w:cs="Times New Roman" w:eastAsia="Times New Roman" w:hAnsi="Times New Roman"/>
          </w:rPr>
          <w:t xml:space="preserve">https://doi.org/10.1057/s41599-026-07310-z</w:t>
        </w:r>
      </w:hyperlink>
    </w:p>
    <w:p>
      <w:pPr>
        <w:spacing w:after="100" w:line="300"/>
        <w:ind w:left="720" w:hanging="720"/>
        <w:jc w:val="left"/>
      </w:pPr>
      <w:r>
        <w:rPr>
          <w:rFonts w:ascii="Times New Roman" w:cs="Times New Roman" w:eastAsia="Times New Roman" w:hAnsi="Times New Roman"/>
          <w:sz w:val="20"/>
          <w:szCs w:val="20"/>
        </w:rPr>
        <w:t xml:space="preserve">Sapkota, R., Roumeliotis, K. I., &amp; Karkee, M. (2025). AI agents vs. agentic AI: A conceptual taxonomy, applications and challenges. </w:t>
      </w:r>
      <w:r>
        <w:rPr>
          <w:rFonts w:ascii="Times New Roman" w:cs="Times New Roman" w:eastAsia="Times New Roman" w:hAnsi="Times New Roman"/>
          <w:i/>
          <w:iCs/>
          <w:sz w:val="20"/>
          <w:szCs w:val="20"/>
        </w:rPr>
        <w:t xml:space="preserve">Information Fusion, 126</w:t>
      </w:r>
      <w:r>
        <w:rPr>
          <w:rFonts w:ascii="Times New Roman" w:cs="Times New Roman" w:eastAsia="Times New Roman" w:hAnsi="Times New Roman"/>
          <w:sz w:val="20"/>
          <w:szCs w:val="20"/>
        </w:rPr>
        <w:t xml:space="preserve">, Article 103599. </w:t>
      </w:r>
      <w:hyperlink w:history="1" r:id="rIdnoeg_m_iafqofm1nt9qbl">
        <w:r>
          <w:rPr>
            <w:rStyle w:val="Hyperlink"/>
            <w:rFonts w:ascii="Times New Roman" w:cs="Times New Roman" w:eastAsia="Times New Roman" w:hAnsi="Times New Roman"/>
          </w:rPr>
          <w:t xml:space="preserve">https://doi.org/10.1016/j.inffus.2025.103599</w:t>
        </w:r>
      </w:hyperlink>
    </w:p>
    <w:p>
      <w:pPr>
        <w:spacing w:after="100" w:line="300"/>
        <w:ind w:left="720" w:hanging="720"/>
        <w:jc w:val="left"/>
      </w:pPr>
      <w:r>
        <w:rPr>
          <w:rFonts w:ascii="Times New Roman" w:cs="Times New Roman" w:eastAsia="Times New Roman" w:hAnsi="Times New Roman"/>
          <w:sz w:val="20"/>
          <w:szCs w:val="20"/>
        </w:rPr>
        <w:t xml:space="preserve">Shoufan, A., &amp; Esmaeil, A.-A. A. (2026). </w:t>
      </w:r>
      <w:r>
        <w:rPr>
          <w:rFonts w:ascii="Times New Roman" w:cs="Times New Roman" w:eastAsia="Times New Roman" w:hAnsi="Times New Roman"/>
          <w:i/>
          <w:iCs/>
          <w:sz w:val="20"/>
          <w:szCs w:val="20"/>
        </w:rPr>
        <w:t xml:space="preserve">AI hallucination from students’ perspective: A thematic analysis</w:t>
      </w:r>
      <w:r>
        <w:rPr>
          <w:rFonts w:ascii="Times New Roman" w:cs="Times New Roman" w:eastAsia="Times New Roman" w:hAnsi="Times New Roman"/>
          <w:sz w:val="20"/>
          <w:szCs w:val="20"/>
        </w:rPr>
        <w:t xml:space="preserve"> [Preprint]. arXiv:2602.17671. </w:t>
      </w:r>
      <w:hyperlink w:history="1" r:id="rId0d5lunh-t59pex6x2y3mc">
        <w:r>
          <w:rPr>
            <w:rStyle w:val="Hyperlink"/>
            <w:rFonts w:ascii="Times New Roman" w:cs="Times New Roman" w:eastAsia="Times New Roman" w:hAnsi="Times New Roman"/>
          </w:rPr>
          <w:t xml:space="preserve">https://arxiv.org/abs/2602.17671</w:t>
        </w:r>
      </w:hyperlink>
    </w:p>
    <w:p>
      <w:pPr>
        <w:spacing w:after="100" w:line="300"/>
        <w:ind w:left="720" w:hanging="720"/>
        <w:jc w:val="left"/>
      </w:pPr>
      <w:r>
        <w:rPr>
          <w:rFonts w:ascii="Times New Roman" w:cs="Times New Roman" w:eastAsia="Times New Roman" w:hAnsi="Times New Roman"/>
          <w:sz w:val="20"/>
          <w:szCs w:val="20"/>
        </w:rPr>
        <w:t xml:space="preserve">Slijepcevic, N., &amp; Yaylali, A. (2025). Leveraging “Khanmigo” generative AI-powered tool for personalized tutoring to learn scientific concepts. </w:t>
      </w:r>
      <w:r>
        <w:rPr>
          <w:rFonts w:ascii="Times New Roman" w:cs="Times New Roman" w:eastAsia="Times New Roman" w:hAnsi="Times New Roman"/>
          <w:i/>
          <w:iCs/>
          <w:sz w:val="20"/>
          <w:szCs w:val="20"/>
        </w:rPr>
        <w:t xml:space="preserve">Journal of Teaching and Learning, 19</w:t>
      </w:r>
      <w:r>
        <w:rPr>
          <w:rFonts w:ascii="Times New Roman" w:cs="Times New Roman" w:eastAsia="Times New Roman" w:hAnsi="Times New Roman"/>
          <w:sz w:val="20"/>
          <w:szCs w:val="20"/>
        </w:rPr>
        <w:t xml:space="preserve">(4), 155–178. </w:t>
      </w:r>
      <w:hyperlink w:history="1" r:id="rIdurvde24s19070rj3amxqc">
        <w:r>
          <w:rPr>
            <w:rStyle w:val="Hyperlink"/>
            <w:rFonts w:ascii="Times New Roman" w:cs="Times New Roman" w:eastAsia="Times New Roman" w:hAnsi="Times New Roman"/>
          </w:rPr>
          <w:t xml:space="preserve">https://jtl.uwindsor.ca/index.php/jtl/article/view/10052</w:t>
        </w:r>
      </w:hyperlink>
    </w:p>
    <w:p>
      <w:pPr>
        <w:spacing w:after="100" w:line="300"/>
        <w:ind w:left="720" w:hanging="720"/>
        <w:jc w:val="left"/>
      </w:pPr>
      <w:r>
        <w:rPr>
          <w:rFonts w:ascii="Times New Roman" w:cs="Times New Roman" w:eastAsia="Times New Roman" w:hAnsi="Times New Roman"/>
          <w:sz w:val="20"/>
          <w:szCs w:val="20"/>
        </w:rPr>
        <w:t xml:space="preserve">Stanford SCALE Initiative. (2025). </w:t>
      </w:r>
      <w:r>
        <w:rPr>
          <w:rFonts w:ascii="Times New Roman" w:cs="Times New Roman" w:eastAsia="Times New Roman" w:hAnsi="Times New Roman"/>
          <w:i/>
          <w:iCs/>
          <w:sz w:val="20"/>
          <w:szCs w:val="20"/>
        </w:rPr>
        <w:t xml:space="preserve">Enabling multi-agent systems as learning designers</w:t>
      </w:r>
      <w:r>
        <w:rPr>
          <w:rFonts w:ascii="Times New Roman" w:cs="Times New Roman" w:eastAsia="Times New Roman" w:hAnsi="Times New Roman"/>
          <w:sz w:val="20"/>
          <w:szCs w:val="20"/>
        </w:rPr>
        <w:t xml:space="preserve"> [Preprint]. arXiv:2508.16659. </w:t>
      </w:r>
      <w:hyperlink w:history="1" r:id="rIdqcj0laiu9sp-wm4ywxawc">
        <w:r>
          <w:rPr>
            <w:rStyle w:val="Hyperlink"/>
            <w:rFonts w:ascii="Times New Roman" w:cs="Times New Roman" w:eastAsia="Times New Roman" w:hAnsi="Times New Roman"/>
          </w:rPr>
          <w:t xml:space="preserve">https://arxiv.org/abs/2508.16659</w:t>
        </w:r>
      </w:hyperlink>
    </w:p>
    <w:p>
      <w:pPr>
        <w:spacing w:after="100" w:line="300"/>
        <w:ind w:left="720" w:hanging="720"/>
        <w:jc w:val="left"/>
      </w:pPr>
      <w:r>
        <w:rPr>
          <w:rFonts w:ascii="Times New Roman" w:cs="Times New Roman" w:eastAsia="Times New Roman" w:hAnsi="Times New Roman"/>
          <w:sz w:val="20"/>
          <w:szCs w:val="20"/>
        </w:rPr>
        <w:t xml:space="preserve">Teaching with AI: A systematic review of chatbots, generative tools, and tutoring systems in programming education. (2025). </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[Preprint]. arXiv:2510.03884. </w:t>
      </w:r>
      <w:hyperlink w:history="1" r:id="rId-0wclb_otdy5f4jms4guw">
        <w:r>
          <w:rPr>
            <w:rStyle w:val="Hyperlink"/>
            <w:rFonts w:ascii="Times New Roman" w:cs="Times New Roman" w:eastAsia="Times New Roman" w:hAnsi="Times New Roman"/>
          </w:rPr>
          <w:t xml:space="preserve">https://arxiv.org/abs/2510.03884</w:t>
        </w:r>
      </w:hyperlink>
    </w:p>
    <w:p>
      <w:pPr>
        <w:spacing w:after="100" w:line="300"/>
        <w:ind w:left="720" w:hanging="720"/>
        <w:jc w:val="left"/>
      </w:pPr>
      <w:r>
        <w:rPr>
          <w:rFonts w:ascii="Times New Roman" w:cs="Times New Roman" w:eastAsia="Times New Roman" w:hAnsi="Times New Roman"/>
          <w:sz w:val="20"/>
          <w:szCs w:val="20"/>
        </w:rPr>
        <w:t xml:space="preserve">UNESCO. (2023). </w:t>
      </w:r>
      <w:r>
        <w:rPr>
          <w:rFonts w:ascii="Times New Roman" w:cs="Times New Roman" w:eastAsia="Times New Roman" w:hAnsi="Times New Roman"/>
          <w:i/>
          <w:iCs/>
          <w:sz w:val="20"/>
          <w:szCs w:val="20"/>
        </w:rPr>
        <w:t xml:space="preserve">Guidance for generative AI in education and research</w:t>
      </w:r>
      <w:r>
        <w:rPr>
          <w:rFonts w:ascii="Times New Roman" w:cs="Times New Roman" w:eastAsia="Times New Roman" w:hAnsi="Times New Roman"/>
          <w:sz w:val="20"/>
          <w:szCs w:val="20"/>
        </w:rPr>
        <w:t xml:space="preserve"> (F. Miao &amp; W. Holmes, Authors). </w:t>
      </w:r>
      <w:hyperlink w:history="1" r:id="rIdztkmqahmhytlr4slbpi6s">
        <w:r>
          <w:rPr>
            <w:rStyle w:val="Hyperlink"/>
            <w:rFonts w:ascii="Times New Roman" w:cs="Times New Roman" w:eastAsia="Times New Roman" w:hAnsi="Times New Roman"/>
          </w:rPr>
          <w:t xml:space="preserve">https://doi.org/10.54675/EWZM9535</w:t>
        </w:r>
      </w:hyperlink>
    </w:p>
    <w:p>
      <w:pPr>
        <w:spacing w:after="100" w:line="300"/>
        <w:ind w:left="720" w:hanging="720"/>
        <w:jc w:val="left"/>
      </w:pPr>
      <w:r>
        <w:rPr>
          <w:rFonts w:ascii="Times New Roman" w:cs="Times New Roman" w:eastAsia="Times New Roman" w:hAnsi="Times New Roman"/>
          <w:sz w:val="20"/>
          <w:szCs w:val="20"/>
        </w:rPr>
        <w:t xml:space="preserve">UNESCO. (2024). </w:t>
      </w:r>
      <w:r>
        <w:rPr>
          <w:rFonts w:ascii="Times New Roman" w:cs="Times New Roman" w:eastAsia="Times New Roman" w:hAnsi="Times New Roman"/>
          <w:i/>
          <w:iCs/>
          <w:sz w:val="20"/>
          <w:szCs w:val="20"/>
        </w:rPr>
        <w:t xml:space="preserve">AI competency framework for students; AI competency framework for teachers</w:t>
      </w:r>
      <w:r>
        <w:rPr>
          <w:rFonts w:ascii="Times New Roman" w:cs="Times New Roman" w:eastAsia="Times New Roman" w:hAnsi="Times New Roman"/>
          <w:sz w:val="20"/>
          <w:szCs w:val="20"/>
        </w:rPr>
        <w:t xml:space="preserve">. </w:t>
      </w:r>
      <w:hyperlink w:history="1" r:id="rIds-hyd1sk0men8ljbo7qwx">
        <w:r>
          <w:rPr>
            <w:rStyle w:val="Hyperlink"/>
            <w:rFonts w:ascii="Times New Roman" w:cs="Times New Roman" w:eastAsia="Times New Roman" w:hAnsi="Times New Roman"/>
          </w:rPr>
          <w:t xml:space="preserve">https://doi.org/10.54675/JKJB9835</w:t>
        </w:r>
      </w:hyperlink>
    </w:p>
    <w:p>
      <w:pPr>
        <w:spacing w:after="100" w:line="300"/>
        <w:ind w:left="720" w:hanging="720"/>
        <w:jc w:val="left"/>
      </w:pPr>
      <w:r>
        <w:rPr>
          <w:rFonts w:ascii="Times New Roman" w:cs="Times New Roman" w:eastAsia="Times New Roman" w:hAnsi="Times New Roman"/>
          <w:sz w:val="20"/>
          <w:szCs w:val="20"/>
        </w:rPr>
        <w:t xml:space="preserve">UNESCO. (n.d.). </w:t>
      </w:r>
      <w:r>
        <w:rPr>
          <w:rFonts w:ascii="Times New Roman" w:cs="Times New Roman" w:eastAsia="Times New Roman" w:hAnsi="Times New Roman"/>
          <w:i/>
          <w:iCs/>
          <w:sz w:val="20"/>
          <w:szCs w:val="20"/>
        </w:rPr>
        <w:t xml:space="preserve">Ghost in the chatbot: The perils of parasocial attachment</w:t>
      </w:r>
      <w:r>
        <w:rPr>
          <w:rFonts w:ascii="Times New Roman" w:cs="Times New Roman" w:eastAsia="Times New Roman" w:hAnsi="Times New Roman"/>
          <w:sz w:val="20"/>
          <w:szCs w:val="20"/>
        </w:rPr>
        <w:t xml:space="preserve">. Retrieved 2026, from </w:t>
      </w:r>
      <w:hyperlink w:history="1" r:id="rIddgzgtgoacphh901iwciab">
        <w:r>
          <w:rPr>
            <w:rStyle w:val="Hyperlink"/>
            <w:rFonts w:ascii="Times New Roman" w:cs="Times New Roman" w:eastAsia="Times New Roman" w:hAnsi="Times New Roman"/>
          </w:rPr>
          <w:t xml:space="preserve">https://www.unesco.org/en/articles/ghost-chatbot-perils-parasocial-attachment</w:t>
        </w:r>
      </w:hyperlink>
    </w:p>
    <w:p>
      <w:pPr>
        <w:spacing w:after="100" w:line="300"/>
        <w:ind w:left="720" w:hanging="720"/>
        <w:jc w:val="left"/>
      </w:pPr>
      <w:r>
        <w:rPr>
          <w:rFonts w:ascii="Times New Roman" w:cs="Times New Roman" w:eastAsia="Times New Roman" w:hAnsi="Times New Roman"/>
          <w:sz w:val="20"/>
          <w:szCs w:val="20"/>
        </w:rPr>
        <w:t xml:space="preserve">Wang, J., &amp; Fan, W. (2025). The effect of ChatGPT on students’ learning performance, learning perception, and higher-order thinking: Insights from a meta-analysis [Retracted]. </w:t>
      </w:r>
      <w:r>
        <w:rPr>
          <w:rFonts w:ascii="Times New Roman" w:cs="Times New Roman" w:eastAsia="Times New Roman" w:hAnsi="Times New Roman"/>
          <w:i/>
          <w:iCs/>
          <w:sz w:val="20"/>
          <w:szCs w:val="20"/>
        </w:rPr>
        <w:t xml:space="preserve">Humanities and Social Sciences Communications, 12</w:t>
      </w:r>
      <w:r>
        <w:rPr>
          <w:rFonts w:ascii="Times New Roman" w:cs="Times New Roman" w:eastAsia="Times New Roman" w:hAnsi="Times New Roman"/>
          <w:sz w:val="20"/>
          <w:szCs w:val="20"/>
        </w:rPr>
        <w:t xml:space="preserve">(1). </w:t>
      </w:r>
      <w:hyperlink w:history="1" r:id="rId2peijweluebih8hie78jd">
        <w:r>
          <w:rPr>
            <w:rStyle w:val="Hyperlink"/>
            <w:rFonts w:ascii="Times New Roman" w:cs="Times New Roman" w:eastAsia="Times New Roman" w:hAnsi="Times New Roman"/>
          </w:rPr>
          <w:t xml:space="preserve">https://doi.org/10.1057/s41599-025-04787-y</w:t>
        </w:r>
      </w:hyperlink>
    </w:p>
    <w:p>
      <w:pPr>
        <w:spacing w:after="100" w:line="300"/>
        <w:ind w:left="720" w:hanging="720"/>
        <w:jc w:val="left"/>
      </w:pPr>
      <w:r>
        <w:rPr>
          <w:rFonts w:ascii="Times New Roman" w:cs="Times New Roman" w:eastAsia="Times New Roman" w:hAnsi="Times New Roman"/>
          <w:sz w:val="20"/>
          <w:szCs w:val="20"/>
        </w:rPr>
        <w:t xml:space="preserve">Yan, L. (2025). </w:t>
      </w:r>
      <w:r>
        <w:rPr>
          <w:rFonts w:ascii="Times New Roman" w:cs="Times New Roman" w:eastAsia="Times New Roman" w:hAnsi="Times New Roman"/>
          <w:i/>
          <w:iCs/>
          <w:sz w:val="20"/>
          <w:szCs w:val="20"/>
        </w:rPr>
        <w:t xml:space="preserve">From passive tool to socio-cognitive teammate: A conceptual framework for agentic AI in human-AI collaborative learning</w:t>
      </w:r>
      <w:r>
        <w:rPr>
          <w:rFonts w:ascii="Times New Roman" w:cs="Times New Roman" w:eastAsia="Times New Roman" w:hAnsi="Times New Roman"/>
          <w:sz w:val="20"/>
          <w:szCs w:val="20"/>
        </w:rPr>
        <w:t xml:space="preserve"> [Preprint]. arXiv:2508.14825. </w:t>
      </w:r>
      <w:hyperlink w:history="1" r:id="rIdje3rvtzp-j4a1rivq3chl">
        <w:r>
          <w:rPr>
            <w:rStyle w:val="Hyperlink"/>
            <w:rFonts w:ascii="Times New Roman" w:cs="Times New Roman" w:eastAsia="Times New Roman" w:hAnsi="Times New Roman"/>
          </w:rPr>
          <w:t xml:space="preserve">https://arxiv.org/abs/2508.14825</w:t>
        </w:r>
      </w:hyperlink>
    </w:p>
    <w:p>
      <w:pPr>
        <w:spacing w:after="100" w:line="300"/>
        <w:ind w:left="720" w:hanging="720"/>
        <w:jc w:val="left"/>
      </w:pPr>
      <w:r>
        <w:rPr>
          <w:rFonts w:ascii="Times New Roman" w:cs="Times New Roman" w:eastAsia="Times New Roman" w:hAnsi="Times New Roman"/>
          <w:sz w:val="20"/>
          <w:szCs w:val="20"/>
        </w:rPr>
        <w:t xml:space="preserve">Yu, H., Zhou, J., Li, L., Chen, S., Gallifant, J., Shi, A., Sun, J., Li, X., He, J., Hua, W., … Fan, L. (2025). Simulated patient systems powered by large language model-based AI agents offer potential for transforming medical education. </w:t>
      </w:r>
      <w:r>
        <w:rPr>
          <w:rFonts w:ascii="Times New Roman" w:cs="Times New Roman" w:eastAsia="Times New Roman" w:hAnsi="Times New Roman"/>
          <w:i/>
          <w:iCs/>
          <w:sz w:val="20"/>
          <w:szCs w:val="20"/>
        </w:rPr>
        <w:t xml:space="preserve">Communications Medicine, 5</w:t>
      </w:r>
      <w:r>
        <w:rPr>
          <w:rFonts w:ascii="Times New Roman" w:cs="Times New Roman" w:eastAsia="Times New Roman" w:hAnsi="Times New Roman"/>
          <w:sz w:val="20"/>
          <w:szCs w:val="20"/>
        </w:rPr>
        <w:t xml:space="preserve">, Article 525. </w:t>
      </w:r>
      <w:hyperlink w:history="1" r:id="rIdfwvy8q40jeibowyyks2ry">
        <w:r>
          <w:rPr>
            <w:rStyle w:val="Hyperlink"/>
            <w:rFonts w:ascii="Times New Roman" w:cs="Times New Roman" w:eastAsia="Times New Roman" w:hAnsi="Times New Roman"/>
          </w:rPr>
          <w:t xml:space="preserve">https://doi.org/10.1038/s43856-025-01283-x</w:t>
        </w:r>
      </w:hyperlink>
    </w:p>
    <w:p>
      <w:pPr>
        <w:spacing w:after="100" w:line="300"/>
        <w:ind w:left="720" w:hanging="720"/>
        <w:jc w:val="left"/>
      </w:pPr>
      <w:r>
        <w:rPr>
          <w:rFonts w:ascii="Times New Roman" w:cs="Times New Roman" w:eastAsia="Times New Roman" w:hAnsi="Times New Roman"/>
          <w:sz w:val="20"/>
          <w:szCs w:val="20"/>
        </w:rPr>
        <w:t xml:space="preserve">Zhang, L., Deng, X., &amp; Shadiev, R. (2026). A meta-review of generative AI in education: Synthesizing findings from systematic reviews. </w:t>
      </w:r>
      <w:r>
        <w:rPr>
          <w:rFonts w:ascii="Times New Roman" w:cs="Times New Roman" w:eastAsia="Times New Roman" w:hAnsi="Times New Roman"/>
          <w:i/>
          <w:iCs/>
          <w:sz w:val="20"/>
          <w:szCs w:val="20"/>
        </w:rPr>
        <w:t xml:space="preserve">Journal of Educational Computing Research, 64</w:t>
      </w:r>
      <w:r>
        <w:rPr>
          <w:rFonts w:ascii="Times New Roman" w:cs="Times New Roman" w:eastAsia="Times New Roman" w:hAnsi="Times New Roman"/>
          <w:sz w:val="20"/>
          <w:szCs w:val="20"/>
        </w:rPr>
        <w:t xml:space="preserve">(4), 1068–1092. </w:t>
      </w:r>
      <w:hyperlink w:history="1" r:id="rIdmsyqhkrm8pful0qly9vlb">
        <w:r>
          <w:rPr>
            <w:rStyle w:val="Hyperlink"/>
            <w:rFonts w:ascii="Times New Roman" w:cs="Times New Roman" w:eastAsia="Times New Roman" w:hAnsi="Times New Roman"/>
          </w:rPr>
          <w:t xml:space="preserve">https://doi.org/10.1177/07356331261419689</w:t>
        </w:r>
      </w:hyperlink>
    </w:p>
    <w:p>
      <w:pPr>
        <w:spacing w:after="100" w:line="300"/>
        <w:ind w:left="720" w:hanging="720"/>
        <w:jc w:val="left"/>
      </w:pPr>
      <w:r>
        <w:rPr>
          <w:rFonts w:ascii="Times New Roman" w:cs="Times New Roman" w:eastAsia="Times New Roman" w:hAnsi="Times New Roman"/>
          <w:sz w:val="20"/>
          <w:szCs w:val="20"/>
        </w:rPr>
        <w:t xml:space="preserve">Zhu, H., Sun, Y., &amp; Yang, J. (2025). Towards responsible artificial intelligence in education: A systematic review on identifying and mitigating ethical risks. </w:t>
      </w:r>
      <w:r>
        <w:rPr>
          <w:rFonts w:ascii="Times New Roman" w:cs="Times New Roman" w:eastAsia="Times New Roman" w:hAnsi="Times New Roman"/>
          <w:i/>
          <w:iCs/>
          <w:sz w:val="20"/>
          <w:szCs w:val="20"/>
        </w:rPr>
        <w:t xml:space="preserve">Humanities and Social Sciences Communications, 12</w:t>
      </w:r>
      <w:r>
        <w:rPr>
          <w:rFonts w:ascii="Times New Roman" w:cs="Times New Roman" w:eastAsia="Times New Roman" w:hAnsi="Times New Roman"/>
          <w:sz w:val="20"/>
          <w:szCs w:val="20"/>
        </w:rPr>
        <w:t xml:space="preserve">(1), Article 1306. </w:t>
      </w:r>
      <w:hyperlink w:history="1" r:id="rIdijpyqk9yhqx0ks68qq8g2">
        <w:r>
          <w:rPr>
            <w:rStyle w:val="Hyperlink"/>
            <w:rFonts w:ascii="Times New Roman" w:cs="Times New Roman" w:eastAsia="Times New Roman" w:hAnsi="Times New Roman"/>
          </w:rPr>
          <w:t xml:space="preserve">https://doi.org/10.1057/s41599-025-05252-6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Agentic AI in Education: A Narrative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wmxkd4voywto36pnjcpz" Type="http://schemas.openxmlformats.org/officeDocument/2006/relationships/hyperlink" Target="https://arxiv.org/abs/2502.00289" TargetMode="External"/><Relationship Id="rIdgdcqdyh4skp0ppkk0k6nc" Type="http://schemas.openxmlformats.org/officeDocument/2006/relationships/hyperlink" Target="https://doi.org/10.3389/frai.2026.1738774" TargetMode="External"/><Relationship Id="rId_8zphpjr7gm6e5kynsap3" Type="http://schemas.openxmlformats.org/officeDocument/2006/relationships/hyperlink" Target="https://doi.org/10.1073/pnas.2422633122" TargetMode="External"/><Relationship Id="rId2ihpokzkv3zz277izpt4y" Type="http://schemas.openxmlformats.org/officeDocument/2006/relationships/hyperlink" Target="https://doi.org/10.3390/info16040296" TargetMode="External"/><Relationship Id="rId32vrc7j_fmthtiegdpow1" Type="http://schemas.openxmlformats.org/officeDocument/2006/relationships/hyperlink" Target="https://doi.org/10.1177/07356331251400540" TargetMode="External"/><Relationship Id="rIdruqcb588oapehj7m1mbwj" Type="http://schemas.openxmlformats.org/officeDocument/2006/relationships/hyperlink" Target="https://aclanthology.org/2025.findings-emnlp.743/" TargetMode="External"/><Relationship Id="rId7klpf_mzgc4kxi_zhawhu" Type="http://schemas.openxmlformats.org/officeDocument/2006/relationships/hyperlink" Target="https://documents.worldbank.org/en/publication/documents-reports/documentdetail/099548105192529324" TargetMode="External"/><Relationship Id="rIdrun7zts-hm3i0pl3tniaj" Type="http://schemas.openxmlformats.org/officeDocument/2006/relationships/hyperlink" Target="http://data.europa.eu/eli/reg/2024/1689/oj" TargetMode="External"/><Relationship Id="rId09eios7tnonhioct9vcde" Type="http://schemas.openxmlformats.org/officeDocument/2006/relationships/hyperlink" Target="https://doi.org/10.1111/bjet.13544" TargetMode="External"/><Relationship Id="rIddsvb77btak-ug2f8a3fqg" Type="http://schemas.openxmlformats.org/officeDocument/2006/relationships/hyperlink" Target="https://news.research.gatech.edu/2025/09/02/georgia-techs-jill-watson-outperforms-chatgpt-real-classrooms" TargetMode="External"/><Relationship Id="rIdxno591z2bqdvusnxtdhip" Type="http://schemas.openxmlformats.org/officeDocument/2006/relationships/hyperlink" Target="https://arxiv.org/abs/2603.20056" TargetMode="External"/><Relationship Id="rIdbruyjzrwmckqu0mtpty7j" Type="http://schemas.openxmlformats.org/officeDocument/2006/relationships/hyperlink" Target="https://doi.org/10.1177/00472395251400089" TargetMode="External"/><Relationship Id="rId6pr4721_rnobdqe7bc1zj" Type="http://schemas.openxmlformats.org/officeDocument/2006/relationships/hyperlink" Target="https://arxiv.org/abs/2504.20082" TargetMode="External"/><Relationship Id="rIdusrvcnmqhhyelgk1ctswr" Type="http://schemas.openxmlformats.org/officeDocument/2006/relationships/hyperlink" Target="https://doi.org/10.1038/s41598-025-97652-6" TargetMode="External"/><Relationship Id="rId8xtpoyijmvj8pvawav4yo" Type="http://schemas.openxmlformats.org/officeDocument/2006/relationships/hyperlink" Target="https://doi.org/10.48550/arXiv.2506.08872" TargetMode="External"/><Relationship Id="rIdl5wc97w5t9c1649ei5bem" Type="http://schemas.openxmlformats.org/officeDocument/2006/relationships/hyperlink" Target="https://arxiv.org/abs/2506.12469" TargetMode="External"/><Relationship Id="rIdplnb_8wtjdppjnrfvkaml" Type="http://schemas.openxmlformats.org/officeDocument/2006/relationships/hyperlink" Target="https://arxiv.org/abs/2601.06818" TargetMode="External"/><Relationship Id="rId3vbqjy4p_gzsbifnouqxj" Type="http://schemas.openxmlformats.org/officeDocument/2006/relationships/hyperlink" Target="https://doi.org/10.1111/jcal.70096" TargetMode="External"/><Relationship Id="rIduw813kv53t7hh-sejtxkv" Type="http://schemas.openxmlformats.org/officeDocument/2006/relationships/hyperlink" Target="https://doi.org/10.3389/fcomp.2026.1729059" TargetMode="External"/><Relationship Id="rIdu16wv9puxkaon8ttu63-c" Type="http://schemas.openxmlformats.org/officeDocument/2006/relationships/hyperlink" Target="https://doi.org/10.3389/fcomp.2026.1759027" TargetMode="External"/><Relationship Id="rIdhotjylmnlvvi0xdct4paz" Type="http://schemas.openxmlformats.org/officeDocument/2006/relationships/hyperlink" Target="https://doi.org/10.1787/c74f03de-en" TargetMode="External"/><Relationship Id="rIdjrh3lugfkt7suoivluxfj" Type="http://schemas.openxmlformats.org/officeDocument/2006/relationships/hyperlink" Target="https://arxiv.org/abs/2509.14803" TargetMode="External"/><Relationship Id="rIdoiusu7tywyc2thdgqikym" Type="http://schemas.openxmlformats.org/officeDocument/2006/relationships/hyperlink" Target="https://doi.org/10.1057/s41599-026-07310-z" TargetMode="External"/><Relationship Id="rIdnoeg_m_iafqofm1nt9qbl" Type="http://schemas.openxmlformats.org/officeDocument/2006/relationships/hyperlink" Target="https://doi.org/10.1016/j.inffus.2025.103599" TargetMode="External"/><Relationship Id="rId0d5lunh-t59pex6x2y3mc" Type="http://schemas.openxmlformats.org/officeDocument/2006/relationships/hyperlink" Target="https://arxiv.org/abs/2602.17671" TargetMode="External"/><Relationship Id="rIdurvde24s19070rj3amxqc" Type="http://schemas.openxmlformats.org/officeDocument/2006/relationships/hyperlink" Target="https://jtl.uwindsor.ca/index.php/jtl/article/view/10052" TargetMode="External"/><Relationship Id="rIdqcj0laiu9sp-wm4ywxawc" Type="http://schemas.openxmlformats.org/officeDocument/2006/relationships/hyperlink" Target="https://arxiv.org/abs/2508.16659" TargetMode="External"/><Relationship Id="rId-0wclb_otdy5f4jms4guw" Type="http://schemas.openxmlformats.org/officeDocument/2006/relationships/hyperlink" Target="https://arxiv.org/abs/2510.03884" TargetMode="External"/><Relationship Id="rIdztkmqahmhytlr4slbpi6s" Type="http://schemas.openxmlformats.org/officeDocument/2006/relationships/hyperlink" Target="https://doi.org/10.54675/EWZM9535" TargetMode="External"/><Relationship Id="rIds-hyd1sk0men8ljbo7qwx" Type="http://schemas.openxmlformats.org/officeDocument/2006/relationships/hyperlink" Target="https://doi.org/10.54675/JKJB9835" TargetMode="External"/><Relationship Id="rIddgzgtgoacphh901iwciab" Type="http://schemas.openxmlformats.org/officeDocument/2006/relationships/hyperlink" Target="https://www.unesco.org/en/articles/ghost-chatbot-perils-parasocial-attachment" TargetMode="External"/><Relationship Id="rId2peijweluebih8hie78jd" Type="http://schemas.openxmlformats.org/officeDocument/2006/relationships/hyperlink" Target="https://doi.org/10.1057/s41599-025-04787-y" TargetMode="External"/><Relationship Id="rIdje3rvtzp-j4a1rivq3chl" Type="http://schemas.openxmlformats.org/officeDocument/2006/relationships/hyperlink" Target="https://arxiv.org/abs/2508.14825" TargetMode="External"/><Relationship Id="rIdfwvy8q40jeibowyyks2ry" Type="http://schemas.openxmlformats.org/officeDocument/2006/relationships/hyperlink" Target="https://doi.org/10.1038/s43856-025-01283-x" TargetMode="External"/><Relationship Id="rIdmsyqhkrm8pful0qly9vlb" Type="http://schemas.openxmlformats.org/officeDocument/2006/relationships/hyperlink" Target="https://doi.org/10.1177/07356331261419689" TargetMode="External"/><Relationship Id="rIdijpyqk9yhqx0ks68qq8g2" Type="http://schemas.openxmlformats.org/officeDocument/2006/relationships/hyperlink" Target="https://doi.org/10.1057/s41599-025-05252-6"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Artificial Intelligence in Education</dc:title>
  <dc:creator>Narrative Review</dc:creator>
  <cp:lastModifiedBy>Un-named</cp:lastModifiedBy>
  <cp:revision>1</cp:revision>
  <dcterms:created xsi:type="dcterms:W3CDTF">2026-06-04T09:01:42.282Z</dcterms:created>
  <dcterms:modified xsi:type="dcterms:W3CDTF">2026-06-04T09:01:42.282Z</dcterms:modified>
</cp:coreProperties>
</file>

<file path=docProps/custom.xml><?xml version="1.0" encoding="utf-8"?>
<Properties xmlns="http://schemas.openxmlformats.org/officeDocument/2006/custom-properties" xmlns:vt="http://schemas.openxmlformats.org/officeDocument/2006/docPropsVTypes"/>
</file>