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32"/>
        </w:rPr>
        <w:t xml:space="preserve">Clocking the Tea: A Narrative Review of the Verb </w:t>
      </w:r>
      <w:r>
        <w:rPr>
          <w:rFonts w:ascii="Times New Roman" w:hAnsi="Times New Roman"/>
          <w:b w:val="0"/>
          <w:i/>
          <w:sz w:val="32"/>
        </w:rPr>
        <w:t>to clock</w:t>
      </w:r>
      <w:r>
        <w:rPr>
          <w:rFonts w:ascii="Times New Roman" w:hAnsi="Times New Roman"/>
          <w:b w:val="0"/>
          <w:i w:val="0"/>
          <w:sz w:val="32"/>
        </w:rPr>
        <w:t xml:space="preserve"> as a Site of Semantic Specialization, Enregisterment, and Racialized Appropriation</w:t>
      </w:r>
    </w:p>
    <w:p>
      <w:pPr>
        <w:spacing w:before="0" w:after="40" w:line="240" w:lineRule="auto"/>
        <w:jc w:val="center"/>
      </w:pPr>
      <w:r>
        <w:rPr>
          <w:rFonts w:ascii="Times New Roman" w:hAnsi="Times New Roman"/>
          <w:b w:val="0"/>
          <w:i w:val="0"/>
          <w:sz w:val="24"/>
        </w:rPr>
        <w:t>[Author Name]¹*</w:t>
      </w:r>
    </w:p>
    <w:p>
      <w:pPr>
        <w:spacing w:before="0" w:after="200" w:line="240" w:lineRule="auto"/>
        <w:jc w:val="center"/>
      </w:pPr>
      <w:r>
        <w:rPr>
          <w:rFonts w:ascii="Times New Roman" w:hAnsi="Times New Roman"/>
          <w:b w:val="0"/>
          <w:i w:val="0"/>
          <w:sz w:val="20"/>
        </w:rPr>
        <w:t>¹ [Department / Faculty, Institution, City, Country]    * Corresponding author: [author@institution.edu]</w:t>
      </w:r>
    </w:p>
    <w:p>
      <w:pPr>
        <w:spacing w:before="0" w:after="80" w:line="240" w:lineRule="auto"/>
        <w:jc w:val="left"/>
      </w:pPr>
      <w:r>
        <w:rPr>
          <w:rFonts w:ascii="Times New Roman" w:hAnsi="Times New Roman"/>
          <w:b/>
          <w:i w:val="0"/>
          <w:sz w:val="24"/>
        </w:rPr>
        <w:t>Abstract</w:t>
      </w:r>
    </w:p>
    <w:p>
      <w:pPr>
        <w:spacing w:before="0" w:after="80" w:line="240" w:lineRule="auto"/>
        <w:jc w:val="both"/>
      </w:pPr>
      <w:r>
        <w:rPr>
          <w:rFonts w:ascii="Times New Roman" w:hAnsi="Times New Roman"/>
          <w:b/>
          <w:i w:val="0"/>
          <w:sz w:val="20"/>
        </w:rPr>
        <w:t xml:space="preserve">Background. </w:t>
      </w:r>
      <w:r>
        <w:rPr>
          <w:rFonts w:ascii="Times New Roman" w:hAnsi="Times New Roman"/>
          <w:b w:val="0"/>
          <w:i w:val="0"/>
          <w:sz w:val="20"/>
        </w:rPr>
        <w:t xml:space="preserve">The imperative “clock it” and the verb to clock – meaning to perceive, recognize, or expose a person or a concealed truth {EN} have become salient in anglophone digital culture, yet the item sits at the intersection of three processes sociolinguistics usually studies separately: documented semantic change, enregisterment, and the racialized appropriation of minoritized vernacular. </w:t>
      </w:r>
      <w:r>
        <w:rPr>
          <w:rFonts w:ascii="Times New Roman" w:hAnsi="Times New Roman"/>
          <w:b/>
          <w:i w:val="0"/>
          <w:sz w:val="20"/>
        </w:rPr>
        <w:t xml:space="preserve">Objectives. </w:t>
      </w:r>
      <w:r>
        <w:rPr>
          <w:rFonts w:ascii="Times New Roman" w:hAnsi="Times New Roman"/>
          <w:b w:val="0"/>
          <w:i w:val="0"/>
          <w:sz w:val="20"/>
        </w:rPr>
        <w:t xml:space="preserve">This review synthesizes the scholarly treatment of the item across historical lexicography, transgender studies, the sociolinguistics of Black and Latinx queer vernacular, and critical media studies of drag. </w:t>
      </w:r>
      <w:r>
        <w:rPr>
          <w:rFonts w:ascii="Times New Roman" w:hAnsi="Times New Roman"/>
          <w:b/>
          <w:i w:val="0"/>
          <w:sz w:val="20"/>
        </w:rPr>
        <w:t xml:space="preserve">Method. </w:t>
      </w:r>
      <w:r>
        <w:rPr>
          <w:rFonts w:ascii="Times New Roman" w:hAnsi="Times New Roman"/>
          <w:b w:val="0"/>
          <w:i w:val="0"/>
          <w:sz w:val="20"/>
        </w:rPr>
        <w:t xml:space="preserve">A narrative (interpretive) review restricted to peer-reviewed scholarship and scholarly lexicography, with a direct full-text lexical check of seven central sources. </w:t>
      </w:r>
      <w:r>
        <w:rPr>
          <w:rFonts w:ascii="Times New Roman" w:hAnsi="Times New Roman"/>
          <w:b/>
          <w:i w:val="0"/>
          <w:sz w:val="20"/>
        </w:rPr>
        <w:t xml:space="preserve">Findings. </w:t>
      </w:r>
      <w:r>
        <w:rPr>
          <w:rFonts w:ascii="Times New Roman" w:hAnsi="Times New Roman"/>
          <w:b w:val="0"/>
          <w:i w:val="0"/>
          <w:sz w:val="20"/>
        </w:rPr>
        <w:t xml:space="preserve">The perception sense is lexicographically attested from 1929, roughly half a century before its ballroom association, so the trans and ballroom uses are best analyzed as a semantic specialization rather than an origin; within transgender studies clocking is theorized as the antonym of passing, with recent work inverting the usual valuation; and the item participates in a documented pathway of appropriation and indexical erasure. A lexical check finds the lemma clock in only one of seven full-text sources. </w:t>
      </w:r>
      <w:r>
        <w:rPr>
          <w:rFonts w:ascii="Times New Roman" w:hAnsi="Times New Roman"/>
          <w:b/>
          <w:i w:val="0"/>
          <w:sz w:val="20"/>
        </w:rPr>
        <w:t xml:space="preserve">Conclusions. </w:t>
      </w:r>
      <w:r>
        <w:rPr>
          <w:rFonts w:ascii="Times New Roman" w:hAnsi="Times New Roman"/>
          <w:b w:val="0"/>
          <w:i w:val="0"/>
          <w:sz w:val="20"/>
        </w:rPr>
        <w:t>Unlike its siblings shade, reading, and tea, the item clock has received no dedicated study; the review specifies how to close that gap.</w:t>
      </w:r>
    </w:p>
    <w:p>
      <w:pPr>
        <w:spacing w:before="0" w:after="200" w:line="240" w:lineRule="auto"/>
        <w:jc w:val="both"/>
      </w:pPr>
      <w:r>
        <w:rPr>
          <w:rFonts w:ascii="Times New Roman" w:hAnsi="Times New Roman"/>
          <w:b w:val="0"/>
          <w:i/>
          <w:sz w:val="20"/>
        </w:rPr>
        <w:t xml:space="preserve">Keywords: </w:t>
      </w:r>
      <w:r>
        <w:rPr>
          <w:rFonts w:ascii="Times New Roman" w:hAnsi="Times New Roman"/>
          <w:b w:val="0"/>
          <w:i w:val="0"/>
          <w:sz w:val="20"/>
        </w:rPr>
        <w:t>clock; enregisterment; African American Vernacular English; transgender studies; ballroom culture; semantic change; linguistic appropriation; raciolinguistics; lexicography; drag</w:t>
      </w:r>
    </w:p>
    <w:p>
      <w:pPr>
        <w:spacing w:before="240" w:after="80" w:line="240" w:lineRule="auto"/>
        <w:jc w:val="left"/>
      </w:pPr>
      <w:r>
        <w:rPr>
          <w:rFonts w:ascii="Times New Roman" w:hAnsi="Times New Roman"/>
          <w:b/>
          <w:i w:val="0"/>
          <w:sz w:val="26"/>
        </w:rPr>
        <w:t>1. Introduction</w:t>
      </w:r>
    </w:p>
    <w:p>
      <w:pPr>
        <w:spacing w:before="0" w:after="120" w:line="240" w:lineRule="auto"/>
        <w:jc w:val="both"/>
      </w:pPr>
      <w:r>
        <w:rPr>
          <w:rFonts w:ascii="Times New Roman" w:hAnsi="Times New Roman"/>
          <w:b w:val="0"/>
          <w:i w:val="0"/>
          <w:sz w:val="22"/>
        </w:rPr>
        <w:t>By the mid-2020s, the imperative “clock it” had become a conspicuous feature of anglophone digital culture, circulating on TikTok, in reality-television commentary, and across mainstream journalism as a way of flagging that a hidden truth has been perceived and named. Its trajectory is, on the surface, familiar: a piece of minoritized vernacular acquires mass currency and, in the process, sheds much of the context that gave it meaning. Yet the verb to clock is an unusually instructive case, because it sits at the intersection of three processes that sociolinguistics has tended to study separately: ordinary semantic change documented in the historical lexicographic record; the enregisterment of a minoritized variety with a characterological figure (Agha, 2003; Ilbury, 2020); and the racialized appropriation of African American Vernacular English (AAVE) and ballroom vocabulary into a putatively neutral “internet language” (Crowley, 2025; Ilbury &amp; Walcott, 2026).</w:t>
      </w:r>
    </w:p>
    <w:p>
      <w:pPr>
        <w:spacing w:before="0" w:after="120" w:line="240" w:lineRule="auto"/>
        <w:jc w:val="both"/>
      </w:pPr>
      <w:r>
        <w:rPr>
          <w:rFonts w:ascii="Times New Roman" w:hAnsi="Times New Roman"/>
          <w:b w:val="0"/>
          <w:i w:val="0"/>
          <w:sz w:val="22"/>
        </w:rPr>
        <w:t>The verb denotes, in its core modern sense, an act of recognition: to notice, to read, or to expose. In transgender contexts it carries a more specific and higher-stakes meaning: to be clocked is to be perceived as transgender, the experiential and political opposite of passing (Schiffer, 2022; Serano, 2007; Wong, 2025). In Black and Latinx ballroom and drag culture it names the detection of a concealed truth or flaw and stands alongside the better-studied practices of reading and throwing shade (Bailey, 2013; Barrett, 2017).</w:t>
      </w:r>
    </w:p>
    <w:p>
      <w:pPr>
        <w:spacing w:before="0" w:after="120" w:line="240" w:lineRule="auto"/>
        <w:jc w:val="both"/>
      </w:pPr>
      <w:r>
        <w:rPr>
          <w:rFonts w:ascii="Times New Roman" w:hAnsi="Times New Roman"/>
          <w:b w:val="0"/>
          <w:i w:val="0"/>
          <w:sz w:val="22"/>
        </w:rPr>
        <w:t>This article asks three questions: (a) what does the historical and lexicographic record establish about the origins and development of the perception sense; (b) how has the transgender and ballroom sense been theorized; and (c) how has the item figured in scholarship on mediatization and appropriation? The central argument is that to clock rewards attention precisely because the scholarship bearing on it is fragmented across sub-disciplines that rarely cite one another. Read together, these literatures yield a coherent genealogy and expose a clear gap for future empirical work.</w:t>
      </w:r>
    </w:p>
    <w:p>
      <w:pPr>
        <w:spacing w:before="240" w:after="80" w:line="240" w:lineRule="auto"/>
        <w:jc w:val="left"/>
      </w:pPr>
      <w:r>
        <w:rPr>
          <w:rFonts w:ascii="Times New Roman" w:hAnsi="Times New Roman"/>
          <w:b/>
          <w:i w:val="0"/>
          <w:sz w:val="26"/>
        </w:rPr>
        <w:t>2. Method</w:t>
      </w:r>
    </w:p>
    <w:p>
      <w:pPr>
        <w:spacing w:before="0" w:after="120" w:line="240" w:lineRule="auto"/>
        <w:jc w:val="both"/>
      </w:pPr>
      <w:r>
        <w:rPr>
          <w:rFonts w:ascii="Times New Roman" w:hAnsi="Times New Roman"/>
          <w:b w:val="0"/>
          <w:i w:val="0"/>
          <w:sz w:val="22"/>
        </w:rPr>
        <w:t>This is a narrative (interpretive) review rather than a systematic review; its aim is synthesis across heterogeneous literatures rather than exhaustive enumeration (Greenhalgh et al., 2018). The procedure, summarized in Figure 1, combined a fan-out search across five thematic angles with adversarial verification and a direct full-text check of the most load-bearing sources.</w:t>
      </w:r>
    </w:p>
    <w:p>
      <w:pPr>
        <w:spacing w:before="120" w:after="40"/>
        <w:jc w:val="center"/>
      </w:pPr>
      <w:r>
        <w:drawing>
          <wp:inline xmlns:a="http://schemas.openxmlformats.org/drawingml/2006/main" xmlns:pic="http://schemas.openxmlformats.org/drawingml/2006/picture">
            <wp:extent cx="5943600" cy="198308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1983086"/>
                    </a:xfrm>
                    <a:prstGeom prst="rect"/>
                  </pic:spPr>
                </pic:pic>
              </a:graphicData>
            </a:graphic>
          </wp:inline>
        </w:drawing>
      </w:r>
    </w:p>
    <w:p>
      <w:pPr>
        <w:spacing w:after="160" w:line="240" w:lineRule="auto"/>
        <w:jc w:val="center"/>
      </w:pPr>
      <w:r>
        <w:rPr>
          <w:rFonts w:ascii="Times New Roman" w:hAnsi="Times New Roman"/>
          <w:b/>
          <w:i w:val="0"/>
          <w:sz w:val="18"/>
        </w:rPr>
        <w:t xml:space="preserve">Figure 1. </w:t>
      </w:r>
      <w:r>
        <w:rPr>
          <w:rFonts w:ascii="Times New Roman" w:hAnsi="Times New Roman"/>
          <w:b w:val="0"/>
          <w:i w:val="0"/>
          <w:sz w:val="18"/>
        </w:rPr>
        <w:t>The structured narrative-review and verification workflow, from scoping five search angles through parallel search, source retrieval, full-text verification, and cited synthesis.</w:t>
      </w:r>
    </w:p>
    <w:p>
      <w:pPr>
        <w:spacing w:after="120" w:line="240" w:lineRule="auto"/>
        <w:jc w:val="both"/>
      </w:pPr>
      <w:r>
        <w:rPr>
          <w:rFonts w:ascii="Times New Roman" w:hAnsi="Times New Roman"/>
          <w:b/>
          <w:i w:val="0"/>
          <w:sz w:val="22"/>
        </w:rPr>
        <w:t xml:space="preserve">Source identification. </w:t>
      </w:r>
      <w:r>
        <w:rPr>
          <w:rFonts w:ascii="Times New Roman" w:hAnsi="Times New Roman"/>
          <w:b w:val="0"/>
          <w:i w:val="0"/>
          <w:sz w:val="22"/>
        </w:rPr>
        <w:t>Sources were located through iterative database and web searching across five angles – historical lexicography; transgender studies; ballroom, drag, and AAVE sociolinguistics; the semantics and regional distribution of the verb; and media-studies treatments of drag – using the lemmas clock, clocked, clocking, and “clock it” in combination with terms such as passing, reading, shade, enregisterment, and appropriation.</w:t>
      </w:r>
    </w:p>
    <w:p>
      <w:pPr>
        <w:spacing w:after="120" w:line="240" w:lineRule="auto"/>
        <w:jc w:val="both"/>
      </w:pPr>
      <w:r>
        <w:rPr>
          <w:rFonts w:ascii="Times New Roman" w:hAnsi="Times New Roman"/>
          <w:b/>
          <w:i w:val="0"/>
          <w:sz w:val="22"/>
        </w:rPr>
        <w:t xml:space="preserve">Source selection and exclusion. </w:t>
      </w:r>
      <w:r>
        <w:rPr>
          <w:rFonts w:ascii="Times New Roman" w:hAnsi="Times New Roman"/>
          <w:b w:val="0"/>
          <w:i w:val="0"/>
          <w:sz w:val="22"/>
        </w:rPr>
        <w:t>To meet the evidentiary standard of an academic review, the base was restricted to peer-reviewed publications, scholarly monographs and edited volumes from university and established academic presses, and recognized scholarly lexicography (the Oxford English Dictionary; Green’s Dictionary of Slang; the New Partridge Dictionary of Slang; Berrey &amp; Van den Bark, 1942). General-purpose dictionaries and journalistic sources were excluded from the evidentiary base; where popular claims are mentioned they are flagged and treated as hypotheses, not findings. Crowd-sourced encyclopaedias were excluded entirely.</w:t>
      </w:r>
    </w:p>
    <w:p>
      <w:pPr>
        <w:spacing w:after="120" w:line="240" w:lineRule="auto"/>
        <w:jc w:val="both"/>
      </w:pPr>
      <w:r>
        <w:rPr>
          <w:rFonts w:ascii="Times New Roman" w:hAnsi="Times New Roman"/>
          <w:b/>
          <w:i w:val="0"/>
          <w:sz w:val="22"/>
        </w:rPr>
        <w:t xml:space="preserve">Lexical verification. </w:t>
      </w:r>
      <w:r>
        <w:rPr>
          <w:rFonts w:ascii="Times New Roman" w:hAnsi="Times New Roman"/>
          <w:b w:val="0"/>
          <w:i w:val="0"/>
          <w:sz w:val="22"/>
        </w:rPr>
        <w:t>For a convenience set of seven full-text sources central to the argument – Wong (2025), Ilbury (2020), Ilbury and Walcott (2026), Crowley (2025), McKinnon (2017), Simmons (2014), and Zimman (2020) – the full published or author-accepted texts were examined directly and searched for the lemma clock. The result motivates the review’s central claim and is reported in Sections 8 and 9.</w:t>
      </w:r>
    </w:p>
    <w:p>
      <w:pPr>
        <w:spacing w:after="120" w:line="240" w:lineRule="auto"/>
        <w:jc w:val="both"/>
      </w:pPr>
      <w:r>
        <w:rPr>
          <w:rFonts w:ascii="Times New Roman" w:hAnsi="Times New Roman"/>
          <w:b/>
          <w:i w:val="0"/>
          <w:sz w:val="22"/>
        </w:rPr>
        <w:t xml:space="preserve">Synthesis. </w:t>
      </w:r>
      <w:r>
        <w:rPr>
          <w:rFonts w:ascii="Times New Roman" w:hAnsi="Times New Roman"/>
          <w:b w:val="0"/>
          <w:i w:val="0"/>
          <w:sz w:val="22"/>
        </w:rPr>
        <w:t>Findings were organized thematically rather than chronologically, integrating the lexicographic chronology with the conceptual and political analyses of the cultural literatures. A confidence-rated summary of principal claims appears in Table 2.</w:t>
      </w:r>
    </w:p>
    <w:p>
      <w:pPr>
        <w:spacing w:before="0" w:after="120" w:line="240" w:lineRule="auto"/>
        <w:jc w:val="both"/>
      </w:pPr>
      <w:r>
        <w:rPr>
          <w:rFonts w:ascii="Times New Roman" w:hAnsi="Times New Roman"/>
          <w:b w:val="0"/>
          <w:i/>
          <w:sz w:val="22"/>
        </w:rPr>
        <w:t xml:space="preserve">A limitation must be stated at the outset. </w:t>
      </w:r>
      <w:r>
        <w:rPr>
          <w:rFonts w:ascii="Times New Roman" w:hAnsi="Times New Roman"/>
          <w:b w:val="0"/>
          <w:i w:val="0"/>
          <w:sz w:val="22"/>
        </w:rPr>
        <w:t>The dated lexicographic citations in Section 3 derive from scholarly slang dictionaries consulted through catalogue and secondary evidence and should be confirmed against the subscription or print originals before being quoted verbatim. Where the literature supports only an inference rather than a direct statement – for example, linking a monograph on surveillance to the slang lexeme clock – this is stated explicitly.</w:t>
      </w:r>
    </w:p>
    <w:p>
      <w:pPr>
        <w:spacing w:before="240" w:after="80" w:line="240" w:lineRule="auto"/>
        <w:jc w:val="left"/>
      </w:pPr>
      <w:r>
        <w:rPr>
          <w:rFonts w:ascii="Times New Roman" w:hAnsi="Times New Roman"/>
          <w:b/>
          <w:i w:val="0"/>
          <w:sz w:val="26"/>
        </w:rPr>
        <w:t>3. The Lexical Substrate: Etymology and the Perception Sense</w:t>
      </w:r>
    </w:p>
    <w:p>
      <w:pPr>
        <w:spacing w:before="0" w:after="120" w:line="240" w:lineRule="auto"/>
        <w:jc w:val="both"/>
      </w:pPr>
      <w:r>
        <w:rPr>
          <w:rFonts w:ascii="Times New Roman" w:hAnsi="Times New Roman"/>
          <w:b w:val="0"/>
          <w:i w:val="0"/>
          <w:sz w:val="22"/>
        </w:rPr>
        <w:t>The noun clock entered English in the late fourteenth century, ultimately from Medieval Latin clocca “bell” (probably of Celtic origin), by way of Middle Dutch and Old North French (Oxford English Dictionary [OED], n.d.). From this base, slang lexicography records several distinct verbal developments that popular accounts routinely conflate (Table 1).</w:t>
      </w:r>
    </w:p>
    <w:p>
      <w:pPr>
        <w:spacing w:before="0" w:after="120" w:line="240" w:lineRule="auto"/>
        <w:jc w:val="both"/>
      </w:pPr>
      <w:r>
        <w:rPr>
          <w:rFonts w:ascii="Times New Roman" w:hAnsi="Times New Roman"/>
          <w:b w:val="0"/>
          <w:i w:val="0"/>
          <w:sz w:val="22"/>
        </w:rPr>
        <w:t xml:space="preserve">A first branch derives from the early-twentieth-century use of clock as a slang noun for the human face, by analogy with the face of a timepiece rather than through rhyming slang; from this noun comes the verb to clock </w:t>
      </w:r>
      <w:r>
        <w:rPr>
          <w:rFonts w:ascii="Times New Roman" w:hAnsi="Times New Roman"/>
          <w:b w:val="0"/>
          <w:i w:val="0"/>
          <w:sz w:val="22"/>
        </w:rPr>
        <w:t>“to strike or punch,”</w:t>
      </w:r>
      <w:r>
        <w:rPr>
          <w:rFonts w:ascii="Times New Roman" w:hAnsi="Times New Roman"/>
          <w:b w:val="0"/>
          <w:i w:val="0"/>
          <w:sz w:val="22"/>
        </w:rPr>
        <w:t xml:space="preserve"> recorded from the early 1940s and frequently labeled Australian in origin (the American idiom to clean someone’s clock belongs to the same family). This pugilistic sense is etymologically and semantically distinct from the perception sense that is the subject of this review.</w:t>
      </w:r>
    </w:p>
    <w:p>
      <w:pPr>
        <w:spacing w:before="0" w:after="120" w:line="240" w:lineRule="auto"/>
        <w:jc w:val="both"/>
      </w:pPr>
      <w:r>
        <w:rPr>
          <w:rFonts w:ascii="Times New Roman" w:hAnsi="Times New Roman"/>
          <w:b w:val="0"/>
          <w:i w:val="0"/>
          <w:sz w:val="22"/>
        </w:rPr>
        <w:t xml:space="preserve">The perception sense – to clock as </w:t>
      </w:r>
      <w:r>
        <w:rPr>
          <w:rFonts w:ascii="Times New Roman" w:hAnsi="Times New Roman"/>
          <w:b w:val="0"/>
          <w:i w:val="0"/>
          <w:sz w:val="22"/>
        </w:rPr>
        <w:t>“to catch sight of, to notice, to watch, to recognize”</w:t>
      </w:r>
      <w:r>
        <w:rPr>
          <w:rFonts w:ascii="Times New Roman" w:hAnsi="Times New Roman"/>
          <w:b w:val="0"/>
          <w:i w:val="0"/>
          <w:sz w:val="22"/>
        </w:rPr>
        <w:t xml:space="preserve"> – is the pivotal one. The New Partridge Dictionary of Slang dates it to 1929, and a further early attestation appears in Berrey and Van den Bark (1942), glossed as “to look at; see.” Green’s Dictionary of Slang offers the fullest gloss: “to see, to recognize, to notice, to watch, to understand, to work something out” (Green, n.d.). The crucial datum is chronological: the general perception sense is securely attested roughly half a century before the ballroom and transgender uses with which the item is popularly associated.</w:t>
      </w:r>
    </w:p>
    <w:p>
      <w:pPr>
        <w:spacing w:before="0" w:after="120" w:line="240" w:lineRule="auto"/>
        <w:jc w:val="both"/>
      </w:pPr>
      <w:r>
        <w:rPr>
          <w:rFonts w:ascii="Times New Roman" w:hAnsi="Times New Roman"/>
          <w:b w:val="0"/>
          <w:i w:val="0"/>
          <w:sz w:val="22"/>
        </w:rPr>
        <w:t>Two uncertainties remain and should not be smoothed over. The first concerns regional origin: although the perception sense is widely felt to be British or Commonwealth colloquial (as in “I clocked him the moment he walked in”), lexicographic evidence variously tags it as originally North American, producing a mismatch the accessible sources do not resolve. The second concerns the earliest citation, with the 1929 Partridge dating and the 1942 attestation as the two leading candidates. Neither uncertainty disturbs the central chronological point.</w:t>
      </w:r>
    </w:p>
    <w:p>
      <w:pPr>
        <w:spacing w:before="160" w:after="40"/>
        <w:jc w:val="left"/>
      </w:pPr>
      <w:r>
        <w:rPr>
          <w:rFonts w:ascii="Times New Roman" w:hAnsi="Times New Roman"/>
          <w:b/>
          <w:i w:val="0"/>
          <w:sz w:val="20"/>
        </w:rPr>
        <w:t xml:space="preserve">Table 1. </w:t>
      </w:r>
      <w:r>
        <w:rPr>
          <w:rFonts w:ascii="Times New Roman" w:hAnsi="Times New Roman"/>
          <w:b w:val="0"/>
          <w:i w:val="0"/>
          <w:sz w:val="20"/>
        </w:rPr>
        <w:t>Documented senses of the verb to clock and their approximate first attestation.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0"/>
            </w:pPr>
            <w:r/>
            <w:r>
              <w:rPr>
                <w:rFonts w:ascii="Times New Roman" w:hAnsi="Times New Roman"/>
                <w:b/>
                <w:i w:val="0"/>
                <w:sz w:val="19"/>
              </w:rPr>
              <w:t>Sense</w:t>
            </w:r>
          </w:p>
        </w:tc>
        <w:tc>
          <w:tcPr>
            <w:tcW w:type="dxa" w:w="3120"/>
          </w:tcPr>
          <w:p>
            <w:pPr>
              <w:spacing w:line="240" w:lineRule="auto" w:after="0"/>
            </w:pPr>
            <w:r/>
            <w:r>
              <w:rPr>
                <w:rFonts w:ascii="Times New Roman" w:hAnsi="Times New Roman"/>
                <w:b/>
                <w:i w:val="0"/>
                <w:sz w:val="19"/>
              </w:rPr>
              <w:t>Approx. first attestation</w:t>
            </w:r>
          </w:p>
        </w:tc>
        <w:tc>
          <w:tcPr>
            <w:tcW w:type="dxa" w:w="3120"/>
          </w:tcPr>
          <w:p>
            <w:pPr>
              <w:spacing w:line="240" w:lineRule="auto" w:after="0"/>
            </w:pPr>
            <w:r/>
            <w:r>
              <w:rPr>
                <w:rFonts w:ascii="Times New Roman" w:hAnsi="Times New Roman"/>
                <w:b/>
                <w:i w:val="0"/>
                <w:sz w:val="19"/>
              </w:rPr>
              <w:t>Source family</w:t>
            </w:r>
          </w:p>
        </w:tc>
      </w:tr>
      <w:tr>
        <w:tc>
          <w:tcPr>
            <w:tcW w:type="dxa" w:w="3120"/>
          </w:tcPr>
          <w:p>
            <w:pPr>
              <w:spacing w:line="240" w:lineRule="auto" w:after="0"/>
            </w:pPr>
            <w:r/>
            <w:r>
              <w:rPr>
                <w:rFonts w:ascii="Times New Roman" w:hAnsi="Times New Roman"/>
                <w:b w:val="0"/>
                <w:i w:val="0"/>
                <w:sz w:val="19"/>
              </w:rPr>
              <w:t>Noun: timepiece (&lt; L. clocca 'bell')</w:t>
            </w:r>
          </w:p>
        </w:tc>
        <w:tc>
          <w:tcPr>
            <w:tcW w:type="dxa" w:w="3120"/>
          </w:tcPr>
          <w:p>
            <w:pPr>
              <w:spacing w:line="240" w:lineRule="auto" w:after="0"/>
            </w:pPr>
            <w:r/>
            <w:r>
              <w:rPr>
                <w:rFonts w:ascii="Times New Roman" w:hAnsi="Times New Roman"/>
                <w:b w:val="0"/>
                <w:i w:val="0"/>
                <w:sz w:val="19"/>
              </w:rPr>
              <w:t>c. 1350–1400</w:t>
            </w:r>
          </w:p>
        </w:tc>
        <w:tc>
          <w:tcPr>
            <w:tcW w:type="dxa" w:w="3120"/>
          </w:tcPr>
          <w:p>
            <w:pPr>
              <w:spacing w:line="240" w:lineRule="auto" w:after="0"/>
            </w:pPr>
            <w:r/>
            <w:r>
              <w:rPr>
                <w:rFonts w:ascii="Times New Roman" w:hAnsi="Times New Roman"/>
                <w:b w:val="0"/>
                <w:i w:val="0"/>
                <w:sz w:val="19"/>
              </w:rPr>
              <w:t>OED</w:t>
            </w:r>
          </w:p>
        </w:tc>
      </w:tr>
      <w:tr>
        <w:tc>
          <w:tcPr>
            <w:tcW w:type="dxa" w:w="3120"/>
          </w:tcPr>
          <w:p>
            <w:pPr>
              <w:spacing w:line="240" w:lineRule="auto" w:after="0"/>
            </w:pPr>
            <w:r/>
            <w:r>
              <w:rPr>
                <w:rFonts w:ascii="Times New Roman" w:hAnsi="Times New Roman"/>
                <w:b w:val="0"/>
                <w:i w:val="0"/>
                <w:sz w:val="19"/>
              </w:rPr>
              <w:t>Noun: human face (timepiece analogy)</w:t>
            </w:r>
          </w:p>
        </w:tc>
        <w:tc>
          <w:tcPr>
            <w:tcW w:type="dxa" w:w="3120"/>
          </w:tcPr>
          <w:p>
            <w:pPr>
              <w:spacing w:line="240" w:lineRule="auto" w:after="0"/>
            </w:pPr>
            <w:r/>
            <w:r>
              <w:rPr>
                <w:rFonts w:ascii="Times New Roman" w:hAnsi="Times New Roman"/>
                <w:b w:val="0"/>
                <w:i w:val="0"/>
                <w:sz w:val="19"/>
              </w:rPr>
              <w:t>early 20th c.</w:t>
            </w:r>
          </w:p>
        </w:tc>
        <w:tc>
          <w:tcPr>
            <w:tcW w:type="dxa" w:w="3120"/>
          </w:tcPr>
          <w:p>
            <w:pPr>
              <w:spacing w:line="240" w:lineRule="auto" w:after="0"/>
            </w:pPr>
            <w:r/>
            <w:r>
              <w:rPr>
                <w:rFonts w:ascii="Times New Roman" w:hAnsi="Times New Roman"/>
                <w:b w:val="0"/>
                <w:i w:val="0"/>
                <w:sz w:val="19"/>
              </w:rPr>
              <w:t>OED; Green's</w:t>
            </w:r>
          </w:p>
        </w:tc>
      </w:tr>
      <w:tr>
        <w:tc>
          <w:tcPr>
            <w:tcW w:type="dxa" w:w="3120"/>
          </w:tcPr>
          <w:p>
            <w:pPr>
              <w:spacing w:line="240" w:lineRule="auto" w:after="0"/>
            </w:pPr>
            <w:r/>
            <w:r>
              <w:rPr>
                <w:rFonts w:ascii="Times New Roman" w:hAnsi="Times New Roman"/>
                <w:b w:val="0"/>
                <w:i w:val="0"/>
                <w:sz w:val="19"/>
              </w:rPr>
              <w:t>Verb: to strike, punch (&lt; 'face' noun)</w:t>
            </w:r>
          </w:p>
        </w:tc>
        <w:tc>
          <w:tcPr>
            <w:tcW w:type="dxa" w:w="3120"/>
          </w:tcPr>
          <w:p>
            <w:pPr>
              <w:spacing w:line="240" w:lineRule="auto" w:after="0"/>
            </w:pPr>
            <w:r/>
            <w:r>
              <w:rPr>
                <w:rFonts w:ascii="Times New Roman" w:hAnsi="Times New Roman"/>
                <w:b w:val="0"/>
                <w:i w:val="0"/>
                <w:sz w:val="19"/>
              </w:rPr>
              <w:t>c. 1941 (orig. Australian)</w:t>
            </w:r>
          </w:p>
        </w:tc>
        <w:tc>
          <w:tcPr>
            <w:tcW w:type="dxa" w:w="3120"/>
          </w:tcPr>
          <w:p>
            <w:pPr>
              <w:spacing w:line="240" w:lineRule="auto" w:after="0"/>
            </w:pPr>
            <w:r/>
            <w:r>
              <w:rPr>
                <w:rFonts w:ascii="Times New Roman" w:hAnsi="Times New Roman"/>
                <w:b w:val="0"/>
                <w:i w:val="0"/>
                <w:sz w:val="19"/>
              </w:rPr>
              <w:t>OED</w:t>
            </w:r>
          </w:p>
        </w:tc>
      </w:tr>
      <w:tr>
        <w:tc>
          <w:tcPr>
            <w:tcW w:type="dxa" w:w="3120"/>
          </w:tcPr>
          <w:p>
            <w:pPr>
              <w:spacing w:line="240" w:lineRule="auto" w:after="0"/>
            </w:pPr>
            <w:r/>
            <w:r>
              <w:rPr>
                <w:rFonts w:ascii="Times New Roman" w:hAnsi="Times New Roman"/>
                <w:b w:val="0"/>
                <w:i w:val="0"/>
                <w:sz w:val="19"/>
              </w:rPr>
              <w:t>Verb: to notice, see, recognize, watch</w:t>
            </w:r>
          </w:p>
        </w:tc>
        <w:tc>
          <w:tcPr>
            <w:tcW w:type="dxa" w:w="3120"/>
          </w:tcPr>
          <w:p>
            <w:pPr>
              <w:spacing w:line="240" w:lineRule="auto" w:after="0"/>
            </w:pPr>
            <w:r/>
            <w:r>
              <w:rPr>
                <w:rFonts w:ascii="Times New Roman" w:hAnsi="Times New Roman"/>
                <w:b w:val="0"/>
                <w:i w:val="0"/>
                <w:sz w:val="19"/>
              </w:rPr>
              <w:t>1929; 1942</w:t>
            </w:r>
          </w:p>
        </w:tc>
        <w:tc>
          <w:tcPr>
            <w:tcW w:type="dxa" w:w="3120"/>
          </w:tcPr>
          <w:p>
            <w:pPr>
              <w:spacing w:line="240" w:lineRule="auto" w:after="0"/>
            </w:pPr>
            <w:r/>
            <w:r>
              <w:rPr>
                <w:rFonts w:ascii="Times New Roman" w:hAnsi="Times New Roman"/>
                <w:b w:val="0"/>
                <w:i w:val="0"/>
                <w:sz w:val="19"/>
              </w:rPr>
              <w:t>New Partridge; Green's</w:t>
            </w:r>
          </w:p>
        </w:tc>
      </w:tr>
      <w:tr>
        <w:tc>
          <w:tcPr>
            <w:tcW w:type="dxa" w:w="3120"/>
          </w:tcPr>
          <w:p>
            <w:pPr>
              <w:spacing w:line="240" w:lineRule="auto" w:after="0"/>
            </w:pPr>
            <w:r/>
            <w:r>
              <w:rPr>
                <w:rFonts w:ascii="Times New Roman" w:hAnsi="Times New Roman"/>
                <w:b w:val="0"/>
                <w:i w:val="0"/>
                <w:sz w:val="19"/>
              </w:rPr>
              <w:t>Verb: to register / record (a time, a speed)</w:t>
            </w:r>
          </w:p>
        </w:tc>
        <w:tc>
          <w:tcPr>
            <w:tcW w:type="dxa" w:w="3120"/>
          </w:tcPr>
          <w:p>
            <w:pPr>
              <w:spacing w:line="240" w:lineRule="auto" w:after="0"/>
            </w:pPr>
            <w:r/>
            <w:r>
              <w:rPr>
                <w:rFonts w:ascii="Times New Roman" w:hAnsi="Times New Roman"/>
                <w:b w:val="0"/>
                <w:i w:val="0"/>
                <w:sz w:val="19"/>
              </w:rPr>
              <w:t>20th c.</w:t>
            </w:r>
          </w:p>
        </w:tc>
        <w:tc>
          <w:tcPr>
            <w:tcW w:type="dxa" w:w="3120"/>
          </w:tcPr>
          <w:p>
            <w:pPr>
              <w:spacing w:line="240" w:lineRule="auto" w:after="0"/>
            </w:pPr>
            <w:r/>
            <w:r>
              <w:rPr>
                <w:rFonts w:ascii="Times New Roman" w:hAnsi="Times New Roman"/>
                <w:b w:val="0"/>
                <w:i w:val="0"/>
                <w:sz w:val="19"/>
              </w:rPr>
              <w:t>OED; Green's</w:t>
            </w:r>
          </w:p>
        </w:tc>
      </w:tr>
      <w:tr>
        <w:tc>
          <w:tcPr>
            <w:tcW w:type="dxa" w:w="3120"/>
          </w:tcPr>
          <w:p>
            <w:pPr>
              <w:spacing w:line="240" w:lineRule="auto" w:after="0"/>
            </w:pPr>
            <w:r/>
            <w:r>
              <w:rPr>
                <w:rFonts w:ascii="Times New Roman" w:hAnsi="Times New Roman"/>
                <w:b w:val="0"/>
                <w:i w:val="0"/>
                <w:sz w:val="19"/>
              </w:rPr>
              <w:t>Verb (specialized): to recognize someone as transgender</w:t>
            </w:r>
          </w:p>
        </w:tc>
        <w:tc>
          <w:tcPr>
            <w:tcW w:type="dxa" w:w="3120"/>
          </w:tcPr>
          <w:p>
            <w:pPr>
              <w:spacing w:line="240" w:lineRule="auto" w:after="0"/>
            </w:pPr>
            <w:r/>
            <w:r>
              <w:rPr>
                <w:rFonts w:ascii="Times New Roman" w:hAnsi="Times New Roman"/>
                <w:b w:val="0"/>
                <w:i w:val="0"/>
                <w:sz w:val="19"/>
              </w:rPr>
              <w:t>later 20th c. (not lexicographically dated)</w:t>
            </w:r>
          </w:p>
        </w:tc>
        <w:tc>
          <w:tcPr>
            <w:tcW w:type="dxa" w:w="3120"/>
          </w:tcPr>
          <w:p>
            <w:pPr>
              <w:spacing w:line="240" w:lineRule="auto" w:after="0"/>
            </w:pPr>
            <w:r/>
            <w:r>
              <w:rPr>
                <w:rFonts w:ascii="Times New Roman" w:hAnsi="Times New Roman"/>
                <w:b w:val="0"/>
                <w:i w:val="0"/>
                <w:sz w:val="19"/>
              </w:rPr>
              <w:t>Trans studies; Homosaurus</w:t>
            </w:r>
          </w:p>
        </w:tc>
      </w:tr>
    </w:tbl>
    <w:p>
      <w:pPr>
        <w:spacing w:before="40" w:after="160"/>
        <w:jc w:val="left"/>
      </w:pPr>
      <w:r>
        <w:rPr>
          <w:rFonts w:ascii="Times New Roman" w:hAnsi="Times New Roman"/>
          <w:b w:val="0"/>
          <w:i/>
          <w:sz w:val="18"/>
        </w:rPr>
        <w:t xml:space="preserve">Note. </w:t>
      </w:r>
      <w:r>
        <w:rPr>
          <w:rFonts w:ascii="Times New Roman" w:hAnsi="Times New Roman"/>
          <w:b w:val="0"/>
          <w:i w:val="0"/>
          <w:sz w:val="18"/>
        </w:rPr>
        <w:t>Datings derive from scholarly slang lexicography and should be confirmed against the subscription or print originals (see Section 2).</w:t>
      </w:r>
    </w:p>
    <w:p>
      <w:pPr>
        <w:spacing w:before="240" w:after="80" w:line="240" w:lineRule="auto"/>
        <w:jc w:val="left"/>
      </w:pPr>
      <w:r>
        <w:rPr>
          <w:rFonts w:ascii="Times New Roman" w:hAnsi="Times New Roman"/>
          <w:b/>
          <w:i w:val="0"/>
          <w:sz w:val="26"/>
        </w:rPr>
        <w:t>4. From Perception to Detection: A Semantic Specialization</w:t>
      </w:r>
    </w:p>
    <w:p>
      <w:pPr>
        <w:spacing w:before="0" w:after="120" w:line="240" w:lineRule="auto"/>
        <w:jc w:val="both"/>
      </w:pPr>
      <w:r>
        <w:rPr>
          <w:rFonts w:ascii="Times New Roman" w:hAnsi="Times New Roman"/>
          <w:b w:val="0"/>
          <w:i w:val="0"/>
          <w:sz w:val="22"/>
        </w:rPr>
        <w:t>A recurrent claim in popular writing is that to clock originated in the Black and Latinx ballroom culture of 1980s New York. The lexicographic evidence renders this untenable as an account of origin while clarifying what is nonetheless correct in it. The verb of perception predates the ballroom scene; what ballroom and transgender communities contributed was not the verb but a high-stakes specialization of it, narrowing a general sense of noticing toward a specific and consequential referent: the detection that a person is transgender, in drag, or otherwise not “real” in the ballroom sense of realness (Bailey, 2013). As Figure 2 shows, this is a clean instance of narrowing followed by later re-generalization as the item diffused outward into the generic contemporary sense of naming a concealed truth.</w:t>
      </w:r>
    </w:p>
    <w:p>
      <w:pPr>
        <w:spacing w:before="120" w:after="40"/>
        <w:jc w:val="center"/>
      </w:pPr>
      <w:r>
        <w:drawing>
          <wp:inline xmlns:a="http://schemas.openxmlformats.org/drawingml/2006/main" xmlns:pic="http://schemas.openxmlformats.org/drawingml/2006/picture">
            <wp:extent cx="5120640" cy="283903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120640" cy="2839038"/>
                    </a:xfrm>
                    <a:prstGeom prst="rect"/>
                  </pic:spPr>
                </pic:pic>
              </a:graphicData>
            </a:graphic>
          </wp:inline>
        </w:drawing>
      </w:r>
    </w:p>
    <w:p>
      <w:pPr>
        <w:spacing w:after="160" w:line="240" w:lineRule="auto"/>
        <w:jc w:val="center"/>
      </w:pPr>
      <w:r>
        <w:rPr>
          <w:rFonts w:ascii="Times New Roman" w:hAnsi="Times New Roman"/>
          <w:b/>
          <w:i w:val="0"/>
          <w:sz w:val="18"/>
        </w:rPr>
        <w:t xml:space="preserve">Figure 2. </w:t>
      </w:r>
      <w:r>
        <w:rPr>
          <w:rFonts w:ascii="Times New Roman" w:hAnsi="Times New Roman"/>
          <w:b w:val="0"/>
          <w:i w:val="0"/>
          <w:sz w:val="18"/>
        </w:rPr>
        <w:t>The semantic genealogy of to clock: a separate 'strike' branch from the 'face' noun (left) versus the perception sense (center) that narrows into the trans/ballroom specialization and then re-generalizes into mainstream 'clock it.'</w:t>
      </w:r>
    </w:p>
    <w:p>
      <w:pPr>
        <w:spacing w:before="0" w:after="120" w:line="240" w:lineRule="auto"/>
        <w:jc w:val="both"/>
      </w:pPr>
      <w:r>
        <w:rPr>
          <w:rFonts w:ascii="Times New Roman" w:hAnsi="Times New Roman"/>
          <w:b w:val="0"/>
          <w:i w:val="0"/>
          <w:sz w:val="22"/>
        </w:rPr>
        <w:t>Treating the ballroom usage as origin obscures this trajectory; treating it as specialization makes the item's history intelligible and reconciles the lexicographic and cultural literatures, which otherwise appear to contradict one another.</w:t>
      </w:r>
    </w:p>
    <w:p>
      <w:pPr>
        <w:spacing w:before="240" w:after="80" w:line="240" w:lineRule="auto"/>
        <w:jc w:val="left"/>
      </w:pPr>
      <w:r>
        <w:rPr>
          <w:rFonts w:ascii="Times New Roman" w:hAnsi="Times New Roman"/>
          <w:b/>
          <w:i w:val="0"/>
          <w:sz w:val="26"/>
        </w:rPr>
        <w:t>5. Clocking in Transgender Studies: Recognition, Passing, and Surveillance</w:t>
      </w:r>
    </w:p>
    <w:p>
      <w:pPr>
        <w:spacing w:before="0" w:after="120" w:line="240" w:lineRule="auto"/>
        <w:jc w:val="both"/>
      </w:pPr>
      <w:r>
        <w:rPr>
          <w:rFonts w:ascii="Times New Roman" w:hAnsi="Times New Roman"/>
          <w:b w:val="0"/>
          <w:i w:val="0"/>
          <w:sz w:val="22"/>
        </w:rPr>
        <w:t xml:space="preserve">It is in transgender studies that clocking has received its most sustained conceptual treatment, even though the field generally adopts the term as community vernacular rather than as an object of lexical analysis. The pivotal contribution is Wong’s (2025) analysis of the ambivalences of trans recognition. Drawing on Honneth, Wong defines the term directly: </w:t>
      </w:r>
      <w:r>
        <w:rPr>
          <w:rFonts w:ascii="Times New Roman" w:hAnsi="Times New Roman"/>
          <w:b w:val="0"/>
          <w:i w:val="0"/>
          <w:sz w:val="22"/>
        </w:rPr>
        <w:t>“Clocking is literally recognition of a person’s transness, which implies that person’s failing to pass, being spotted in their transness, and losing realness”</w:t>
      </w:r>
      <w:r>
        <w:rPr>
          <w:rFonts w:ascii="Times New Roman" w:hAnsi="Times New Roman"/>
          <w:b w:val="0"/>
          <w:i w:val="0"/>
          <w:sz w:val="22"/>
        </w:rPr>
        <w:t xml:space="preserve"> (Wong, 2025), and elaborates that </w:t>
      </w:r>
      <w:r>
        <w:rPr>
          <w:rFonts w:ascii="Times New Roman" w:hAnsi="Times New Roman"/>
          <w:b w:val="0"/>
          <w:i w:val="0"/>
          <w:sz w:val="22"/>
        </w:rPr>
        <w:t>“being clocked designates being spotted as trans, losing realness, failing to pass”</w:t>
      </w:r>
      <w:r>
        <w:rPr>
          <w:rFonts w:ascii="Times New Roman" w:hAnsi="Times New Roman"/>
          <w:b w:val="0"/>
          <w:i w:val="0"/>
          <w:sz w:val="22"/>
        </w:rPr>
        <w:t xml:space="preserve"> while clocking </w:t>
      </w:r>
      <w:r>
        <w:rPr>
          <w:rFonts w:ascii="Times New Roman" w:hAnsi="Times New Roman"/>
          <w:b w:val="0"/>
          <w:i w:val="0"/>
          <w:sz w:val="22"/>
        </w:rPr>
        <w:t>“inscribes the demands of cis-normativity within an act of seeing a person as trans”</w:t>
      </w:r>
      <w:r>
        <w:rPr>
          <w:rFonts w:ascii="Times New Roman" w:hAnsi="Times New Roman"/>
          <w:b w:val="0"/>
          <w:i w:val="0"/>
          <w:sz w:val="22"/>
        </w:rPr>
        <w:t xml:space="preserve"> (Wong, 2025).</w:t>
      </w:r>
    </w:p>
    <w:p>
      <w:pPr>
        <w:spacing w:before="0" w:after="120" w:line="240" w:lineRule="auto"/>
        <w:jc w:val="both"/>
      </w:pPr>
      <w:r>
        <w:rPr>
          <w:rFonts w:ascii="Times New Roman" w:hAnsi="Times New Roman"/>
          <w:b w:val="0"/>
          <w:i w:val="0"/>
          <w:sz w:val="22"/>
        </w:rPr>
        <w:t xml:space="preserve">Wong then performs a deliberate inversion of the term's usual valuation: because the criteria of passing are themselves cis-normative, </w:t>
      </w:r>
      <w:r>
        <w:rPr>
          <w:rFonts w:ascii="Times New Roman" w:hAnsi="Times New Roman"/>
          <w:b w:val="0"/>
          <w:i w:val="0"/>
          <w:sz w:val="22"/>
        </w:rPr>
        <w:t>“passing, not being clocked, is misrecognition; consequently, recognition is clocking”</w:t>
      </w:r>
      <w:r>
        <w:rPr>
          <w:rFonts w:ascii="Times New Roman" w:hAnsi="Times New Roman"/>
          <w:b w:val="0"/>
          <w:i w:val="0"/>
          <w:sz w:val="22"/>
        </w:rPr>
        <w:t xml:space="preserve"> (Wong, 2025), a position condensed into the formula that </w:t>
      </w:r>
      <w:r>
        <w:rPr>
          <w:rFonts w:ascii="Times New Roman" w:hAnsi="Times New Roman"/>
          <w:b w:val="0"/>
          <w:i w:val="0"/>
          <w:sz w:val="22"/>
        </w:rPr>
        <w:t>“recognition is clocking, and clocking is recognition.”</w:t>
      </w:r>
      <w:r>
        <w:rPr>
          <w:rFonts w:ascii="Times New Roman" w:hAnsi="Times New Roman"/>
          <w:b w:val="0"/>
          <w:i w:val="0"/>
          <w:sz w:val="22"/>
        </w:rPr>
        <w:t xml:space="preserve"> This stands as the sharpest scholarly disagreement in the corpus, directly contesting the lay framing in which being clocked is uniformly a harm. It is also, notably, the only source in the assembled set that uses the lexeme clock at all (Section 8).</w:t>
      </w:r>
    </w:p>
    <w:p>
      <w:pPr>
        <w:spacing w:before="0" w:after="120" w:line="240" w:lineRule="auto"/>
        <w:jc w:val="both"/>
      </w:pPr>
      <w:r>
        <w:rPr>
          <w:rFonts w:ascii="Times New Roman" w:hAnsi="Times New Roman"/>
          <w:b w:val="0"/>
          <w:i w:val="0"/>
          <w:sz w:val="22"/>
        </w:rPr>
        <w:t>Schiffer's (2022) ethnographic study brings the term into interactional sociology. Reflecting on fieldwork conducted as a transgender woman, Schiffer shows that whether or not she was clocked materially restructured her interactions with predominantly cisgender participants, and theorizes the resulting dynamic through Goffman, coining cistress for the guilt or anger that cisgender interlocutors display when cisnormative assumptions are disrupted. Serano's (2007) widely cited account – a trade-press book by a scholar-activist, flagged as such – frames being read or clocked as a product of the “cis assumption,” after which observers engage in “ungendering.” The conceptual antonym is theorized by Beauchamp (2019), whose monograph on transgender politics and U.S. surveillance analyzes going stealth and argues that heightened visibility can render transgender people more rather than less surveillable; the link to the slang lexeme clock is conceptual rather than lexical. Finally, the emerging programme of trans linguistics (Zimman, 2020) theorizes how transness is perceived through vocal and discursive practice, yet – tellingly – does not foreground the lexeme clock.</w:t>
      </w:r>
    </w:p>
    <w:p>
      <w:pPr>
        <w:spacing w:before="240" w:after="80" w:line="240" w:lineRule="auto"/>
        <w:jc w:val="left"/>
      </w:pPr>
      <w:r>
        <w:rPr>
          <w:rFonts w:ascii="Times New Roman" w:hAnsi="Times New Roman"/>
          <w:b/>
          <w:i w:val="0"/>
          <w:sz w:val="26"/>
        </w:rPr>
        <w:t>6. Clocking among Reading and Shade: The Pragmatics of Black Queer Vernacular</w:t>
      </w:r>
    </w:p>
    <w:p>
      <w:pPr>
        <w:spacing w:before="0" w:after="120" w:line="240" w:lineRule="auto"/>
        <w:jc w:val="both"/>
      </w:pPr>
      <w:r>
        <w:rPr>
          <w:rFonts w:ascii="Times New Roman" w:hAnsi="Times New Roman"/>
          <w:b w:val="0"/>
          <w:i w:val="0"/>
          <w:sz w:val="22"/>
        </w:rPr>
        <w:t>The item belongs to a Black and Latinx queer vernacular system whose other members are comparatively well studied. The foundational linguistic scholarship is Barrett's work on African American drag performance (Barrett, 1998, 2017), which analyzes the strategic styleswitching through which Black drag queens index multiple social personae, and which constitutes the intellectual home for the cluster reading, shade, and clocking. Bailey's (2013) ethnography establishes the broader frame, treating ballroom vernacular as a practice of survival, kinship, and resistance and supplying the authoritative account of realness – the achievement against which being clocked is the failure, with material consequences for safety, housing, and employment.</w:t>
      </w:r>
    </w:p>
    <w:p>
      <w:pPr>
        <w:spacing w:before="0" w:after="120" w:line="240" w:lineRule="auto"/>
        <w:jc w:val="both"/>
      </w:pPr>
      <w:r>
        <w:rPr>
          <w:rFonts w:ascii="Times New Roman" w:hAnsi="Times New Roman"/>
          <w:b w:val="0"/>
          <w:i w:val="0"/>
          <w:sz w:val="22"/>
        </w:rPr>
        <w:t>The pragmatic literature distinguishes the cluster with some precision: clocking is the detection of a concealed truth or flaw; reading is the artful delivery of a pointed insult; and shade is the indirect, implicational form of reading. Reading has been analyzed as mock impoliteness that builds in-group solidarity rather than division: McKinnon (2017) examines reading in the backstage talk of four drag queen performers and argues that what appears as insult functions to build a shared “thick skin,” while McKinnon (2023) and Simmons (2014) extend the analysis to the mediatized “Reading Challenge” and to the speech codes of RuPaul’s Drag Race respectively. It is telling that even within this comparatively developed literature, reading and shade are defined far more sharply than clocking, which is glossed only in passing where it appears at all.</w:t>
      </w:r>
    </w:p>
    <w:p>
      <w:pPr>
        <w:spacing w:before="240" w:after="80" w:line="240" w:lineRule="auto"/>
        <w:jc w:val="left"/>
      </w:pPr>
      <w:r>
        <w:rPr>
          <w:rFonts w:ascii="Times New Roman" w:hAnsi="Times New Roman"/>
          <w:b/>
          <w:i w:val="0"/>
          <w:sz w:val="26"/>
        </w:rPr>
        <w:t>7. Enregisterment, Mediatization, and Racialized Appropriation</w:t>
      </w:r>
    </w:p>
    <w:p>
      <w:pPr>
        <w:spacing w:before="0" w:after="120" w:line="240" w:lineRule="auto"/>
        <w:jc w:val="both"/>
      </w:pPr>
      <w:r>
        <w:rPr>
          <w:rFonts w:ascii="Times New Roman" w:hAnsi="Times New Roman"/>
          <w:b w:val="0"/>
          <w:i w:val="0"/>
          <w:sz w:val="22"/>
        </w:rPr>
        <w:t>The contemporary circulation of clock it is best understood through the sociolinguistic literature on enregisterment and appropriation. Ilbury (2020) shows, in a corpus of 15,804 tweets from ten gay British men, how AAVE features are stylized to project a recognizable “Sassy Queen” persona that rests on an essentialized image of Black women, demonstrating the enregisterment of AAVE with a characterological figure rather than with its actual speaker community. Building on this, Ilbury and Walcott (2026) analyze a corpus of 178 TikTok videos in which AAVE features are recontextualized as “internet” or “Gen Z” language; crucially, they show that two competing metalinguistic discourses – a concern over the “indexical erasure” of AAVE versus claims of a new register of “internet language” – coexist among users themselves, so the contradiction is internal to the data. Figure 3 places this diffusion in historical perspective.</w:t>
      </w:r>
    </w:p>
    <w:p>
      <w:pPr>
        <w:spacing w:before="120" w:after="40"/>
        <w:jc w:val="center"/>
      </w:pPr>
      <w:r>
        <w:drawing>
          <wp:inline xmlns:a="http://schemas.openxmlformats.org/drawingml/2006/main" xmlns:pic="http://schemas.openxmlformats.org/drawingml/2006/picture">
            <wp:extent cx="5943600" cy="245276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943600" cy="2452768"/>
                    </a:xfrm>
                    <a:prstGeom prst="rect"/>
                  </pic:spPr>
                </pic:pic>
              </a:graphicData>
            </a:graphic>
          </wp:inline>
        </w:drawing>
      </w:r>
    </w:p>
    <w:p>
      <w:pPr>
        <w:spacing w:after="160" w:line="240" w:lineRule="auto"/>
        <w:jc w:val="center"/>
      </w:pPr>
      <w:r>
        <w:rPr>
          <w:rFonts w:ascii="Times New Roman" w:hAnsi="Times New Roman"/>
          <w:b/>
          <w:i w:val="0"/>
          <w:sz w:val="18"/>
        </w:rPr>
        <w:t xml:space="preserve">Figure 3. </w:t>
      </w:r>
      <w:r>
        <w:rPr>
          <w:rFonts w:ascii="Times New Roman" w:hAnsi="Times New Roman"/>
          <w:b w:val="0"/>
          <w:i w:val="0"/>
          <w:sz w:val="18"/>
        </w:rPr>
        <w:t>Transmission timeline of the perception sense, from its lexicographic attestation (1929) through ballroom/trans specialization, mediatization on RuPaul's Drag Race, and social-media diffusion to mainstream 'clock it.'</w:t>
      </w:r>
    </w:p>
    <w:p>
      <w:pPr>
        <w:spacing w:before="0" w:after="120" w:line="240" w:lineRule="auto"/>
        <w:jc w:val="both"/>
      </w:pPr>
      <w:r>
        <w:rPr>
          <w:rFonts w:ascii="Times New Roman" w:hAnsi="Times New Roman"/>
          <w:b w:val="0"/>
          <w:i w:val="0"/>
          <w:sz w:val="22"/>
        </w:rPr>
        <w:t>Crowley (2025) extends the analysis to the racial politics of attribution within transgender communities. In ethnographic interviews with seven transgender South Carolinians, linguistic innovations traced to Black trans communities were characterized as “slang” (e.g., sis, queen), while those attributed to white communities were characterized as “terminology” (e.g., demigender, nonbinary), and participants described a trajectory by which Black-originated terms travel outward until they “just become queer slang,” losing their racial attribution. This is precisely the mechanism an item such as clock it undergoes. Critical media studies situate the diffusion within a political economy of commodification: Goldmark (2015) examines how the language of inclusion in RuPaul's Drag Race operates against an unmarked norm of English proficiency, while Hodes and Sandoval (2018) argue that the franchise commodifies and depoliticizes drag. These accounts stand in tension with celebratory framings of the same diffusion as linguistic creativity – the recurring split between innovation and erasure, subversion and reinscription, that an adequate account of clock it must hold in view.</w:t>
      </w:r>
    </w:p>
    <w:p>
      <w:pPr>
        <w:spacing w:before="240" w:after="80" w:line="240" w:lineRule="auto"/>
        <w:jc w:val="left"/>
      </w:pPr>
      <w:r>
        <w:rPr>
          <w:rFonts w:ascii="Times New Roman" w:hAnsi="Times New Roman"/>
          <w:b/>
          <w:i w:val="0"/>
          <w:sz w:val="26"/>
        </w:rPr>
        <w:t>8. The Lexical Lacuna: Evidence from a Full-Text Check</w:t>
      </w:r>
    </w:p>
    <w:p>
      <w:pPr>
        <w:spacing w:before="0" w:after="120" w:line="240" w:lineRule="auto"/>
        <w:jc w:val="both"/>
      </w:pPr>
      <w:r>
        <w:rPr>
          <w:rFonts w:ascii="Times New Roman" w:hAnsi="Times New Roman"/>
          <w:b w:val="0"/>
          <w:i w:val="0"/>
          <w:sz w:val="22"/>
        </w:rPr>
        <w:t>Despite the rich treatment of its lexical siblings, the item clock has attracted no dedicated empirical or lexicological study; it is everywhere adjacent and nowhere central. The point is not merely impressionistic. In the assembled set of seven full-text sources closest to the topic, the lemma clock appears only in Wong (2025) and is absent from the remaining six – Ilbury (2020), Ilbury and Walcott (2026), Crowley (2025), McKinnon (2017), Simmons (2014), and Zimman (2020) – each of which nonetheless theorizes passing, reading, enregisterment, or appropriation. Because the set was selected for its topical proximity to the item, this absence is treated as evidence rather than as an artifact of sampling.</w:t>
      </w:r>
    </w:p>
    <w:p>
      <w:pPr>
        <w:spacing w:before="240" w:after="80" w:line="240" w:lineRule="auto"/>
        <w:jc w:val="left"/>
      </w:pPr>
      <w:r>
        <w:rPr>
          <w:rFonts w:ascii="Times New Roman" w:hAnsi="Times New Roman"/>
          <w:b/>
          <w:i w:val="0"/>
          <w:sz w:val="26"/>
        </w:rPr>
        <w:t>9. Discussion</w:t>
      </w:r>
    </w:p>
    <w:p>
      <w:pPr>
        <w:spacing w:before="0" w:after="120" w:line="240" w:lineRule="auto"/>
        <w:jc w:val="both"/>
      </w:pPr>
      <w:r>
        <w:rPr>
          <w:rFonts w:ascii="Times New Roman" w:hAnsi="Times New Roman"/>
          <w:b w:val="0"/>
          <w:i w:val="0"/>
          <w:sz w:val="22"/>
        </w:rPr>
        <w:t>Read together, the four literatures yield a coherent genealogy (Figure 4). A general slang verb of perception, attested from the late 1920s, was specialized within Black and Latinx ballroom and transgender communities into a high-stakes act of gender detection, the antonym of passing and realness. Theorized in transgender studies as a form of recognition with ambivalent stakes (Schiffer, 2022; Wong, 2025), the item then diffused outward through mediatized drag and social media, re-generalizing into a broad contemporary sense while undergoing the indexical erasure that attends the appropriation of AAVE and ballroom vernacular (Crowley, 2025; Ilbury &amp; Walcott, 2026).</w:t>
      </w:r>
    </w:p>
    <w:p>
      <w:pPr>
        <w:spacing w:before="120" w:after="40"/>
        <w:jc w:val="center"/>
      </w:pPr>
      <w:r>
        <w:drawing>
          <wp:inline xmlns:a="http://schemas.openxmlformats.org/drawingml/2006/main" xmlns:pic="http://schemas.openxmlformats.org/drawingml/2006/picture">
            <wp:extent cx="4937760" cy="3093896"/>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4937760" cy="3093896"/>
                    </a:xfrm>
                    <a:prstGeom prst="rect"/>
                  </pic:spPr>
                </pic:pic>
              </a:graphicData>
            </a:graphic>
          </wp:inline>
        </w:drawing>
      </w:r>
    </w:p>
    <w:p>
      <w:pPr>
        <w:spacing w:after="160" w:line="240" w:lineRule="auto"/>
        <w:jc w:val="center"/>
      </w:pPr>
      <w:r>
        <w:rPr>
          <w:rFonts w:ascii="Times New Roman" w:hAnsi="Times New Roman"/>
          <w:b/>
          <w:i w:val="0"/>
          <w:sz w:val="18"/>
        </w:rPr>
        <w:t xml:space="preserve">Figure 4. </w:t>
      </w:r>
      <w:r>
        <w:rPr>
          <w:rFonts w:ascii="Times New Roman" w:hAnsi="Times New Roman"/>
          <w:b w:val="0"/>
          <w:i w:val="0"/>
          <w:sz w:val="18"/>
        </w:rPr>
        <w:t>The item clock it at the intersection of four scholarly lenses, each of which engages it adjacently rather than as a primary object of study.</w:t>
      </w:r>
    </w:p>
    <w:p>
      <w:pPr>
        <w:spacing w:before="0" w:after="120" w:line="240" w:lineRule="auto"/>
        <w:jc w:val="both"/>
      </w:pPr>
      <w:r>
        <w:rPr>
          <w:rFonts w:ascii="Times New Roman" w:hAnsi="Times New Roman"/>
          <w:b w:val="0"/>
          <w:i w:val="0"/>
          <w:sz w:val="22"/>
        </w:rPr>
        <w:t>The synthesis also makes a methodological point. That the field has theorized the politics of this item far more thoroughly than it has described the item itself is the review's central finding and its principal invitation to future work, summarized with confidence ratings in Table 2.</w:t>
      </w:r>
    </w:p>
    <w:p>
      <w:pPr>
        <w:spacing w:before="160" w:after="40"/>
        <w:jc w:val="left"/>
      </w:pPr>
      <w:r>
        <w:rPr>
          <w:rFonts w:ascii="Times New Roman" w:hAnsi="Times New Roman"/>
          <w:b/>
          <w:i w:val="0"/>
          <w:sz w:val="20"/>
        </w:rPr>
        <w:t xml:space="preserve">Table 2. </w:t>
      </w:r>
      <w:r>
        <w:rPr>
          <w:rFonts w:ascii="Times New Roman" w:hAnsi="Times New Roman"/>
          <w:b w:val="0"/>
          <w:i w:val="0"/>
          <w:sz w:val="20"/>
        </w:rPr>
        <w:t>Principal claims, best supporting sources, source tier, and verification status.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176"/>
          </w:tcPr>
          <w:p>
            <w:pPr>
              <w:spacing w:line="240" w:lineRule="auto" w:after="0"/>
            </w:pPr>
            <w:r/>
            <w:r>
              <w:rPr>
                <w:rFonts w:ascii="Times New Roman" w:hAnsi="Times New Roman"/>
                <w:b/>
                <w:i w:val="0"/>
                <w:sz w:val="18"/>
              </w:rPr>
              <w:t>Claim</w:t>
            </w:r>
          </w:p>
        </w:tc>
        <w:tc>
          <w:tcPr>
            <w:tcW w:type="dxa" w:w="3168"/>
          </w:tcPr>
          <w:p>
            <w:pPr>
              <w:spacing w:line="240" w:lineRule="auto" w:after="0"/>
            </w:pPr>
            <w:r/>
            <w:r>
              <w:rPr>
                <w:rFonts w:ascii="Times New Roman" w:hAnsi="Times New Roman"/>
                <w:b/>
                <w:i w:val="0"/>
                <w:sz w:val="18"/>
              </w:rPr>
              <w:t>Best source(s)</w:t>
            </w:r>
          </w:p>
        </w:tc>
        <w:tc>
          <w:tcPr>
            <w:tcW w:type="dxa" w:w="1440"/>
          </w:tcPr>
          <w:p>
            <w:pPr>
              <w:spacing w:line="240" w:lineRule="auto" w:after="0"/>
            </w:pPr>
            <w:r/>
            <w:r>
              <w:rPr>
                <w:rFonts w:ascii="Times New Roman" w:hAnsi="Times New Roman"/>
                <w:b/>
                <w:i w:val="0"/>
                <w:sz w:val="18"/>
              </w:rPr>
              <w:t>Tier</w:t>
            </w:r>
          </w:p>
        </w:tc>
        <w:tc>
          <w:tcPr>
            <w:tcW w:type="dxa" w:w="1296"/>
          </w:tcPr>
          <w:p>
            <w:pPr>
              <w:spacing w:line="240" w:lineRule="auto" w:after="0"/>
            </w:pPr>
            <w:r/>
            <w:r>
              <w:rPr>
                <w:rFonts w:ascii="Times New Roman" w:hAnsi="Times New Roman"/>
                <w:b/>
                <w:i w:val="0"/>
                <w:sz w:val="18"/>
              </w:rPr>
              <w:t>Status</w:t>
            </w:r>
          </w:p>
        </w:tc>
      </w:tr>
      <w:tr>
        <w:tc>
          <w:tcPr>
            <w:tcW w:type="dxa" w:w="4176"/>
          </w:tcPr>
          <w:p>
            <w:pPr>
              <w:spacing w:line="240" w:lineRule="auto" w:after="0"/>
            </w:pPr>
            <w:r/>
            <w:r>
              <w:rPr>
                <w:rFonts w:ascii="Times New Roman" w:hAnsi="Times New Roman"/>
                <w:b w:val="0"/>
                <w:i w:val="0"/>
                <w:sz w:val="18"/>
              </w:rPr>
              <w:t>Perception sense attested 1929–1942, predating ballroom use</w:t>
            </w:r>
          </w:p>
        </w:tc>
        <w:tc>
          <w:tcPr>
            <w:tcW w:type="dxa" w:w="3168"/>
          </w:tcPr>
          <w:p>
            <w:pPr>
              <w:spacing w:line="240" w:lineRule="auto" w:after="0"/>
            </w:pPr>
            <w:r/>
            <w:r>
              <w:rPr>
                <w:rFonts w:ascii="Times New Roman" w:hAnsi="Times New Roman"/>
                <w:b w:val="0"/>
                <w:i w:val="0"/>
                <w:sz w:val="18"/>
              </w:rPr>
              <w:t>New Partridge; Berrey &amp; Van den Bark (1942); Green's</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Ballroom/trans use is a specialization, not the origin</w:t>
            </w:r>
          </w:p>
        </w:tc>
        <w:tc>
          <w:tcPr>
            <w:tcW w:type="dxa" w:w="3168"/>
          </w:tcPr>
          <w:p>
            <w:pPr>
              <w:spacing w:line="240" w:lineRule="auto" w:after="0"/>
            </w:pPr>
            <w:r/>
            <w:r>
              <w:rPr>
                <w:rFonts w:ascii="Times New Roman" w:hAnsi="Times New Roman"/>
                <w:b w:val="0"/>
                <w:i w:val="0"/>
                <w:sz w:val="18"/>
              </w:rPr>
              <w:t>Inference from lexicographic chronology</w:t>
            </w:r>
          </w:p>
        </w:tc>
        <w:tc>
          <w:tcPr>
            <w:tcW w:type="dxa" w:w="1440"/>
          </w:tcPr>
          <w:p>
            <w:pPr>
              <w:spacing w:line="240" w:lineRule="auto" w:after="0"/>
            </w:pPr>
            <w:r/>
            <w:r>
              <w:rPr>
                <w:rFonts w:ascii="Times New Roman" w:hAnsi="Times New Roman"/>
                <w:b w:val="0"/>
                <w:i w:val="0"/>
                <w:sz w:val="18"/>
              </w:rPr>
              <w:t>Inference</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'Strike' sense (1941) is a separate branch from the perception sense</w:t>
            </w:r>
          </w:p>
        </w:tc>
        <w:tc>
          <w:tcPr>
            <w:tcW w:type="dxa" w:w="3168"/>
          </w:tcPr>
          <w:p>
            <w:pPr>
              <w:spacing w:line="240" w:lineRule="auto" w:after="0"/>
            </w:pPr>
            <w:r/>
            <w:r>
              <w:rPr>
                <w:rFonts w:ascii="Times New Roman" w:hAnsi="Times New Roman"/>
                <w:b w:val="0"/>
                <w:i w:val="0"/>
                <w:sz w:val="18"/>
              </w:rPr>
              <w:t>OED</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Probable</w:t>
            </w:r>
          </w:p>
        </w:tc>
      </w:tr>
      <w:tr>
        <w:tc>
          <w:tcPr>
            <w:tcW w:type="dxa" w:w="4176"/>
          </w:tcPr>
          <w:p>
            <w:pPr>
              <w:spacing w:line="240" w:lineRule="auto" w:after="0"/>
            </w:pPr>
            <w:r/>
            <w:r>
              <w:rPr>
                <w:rFonts w:ascii="Times New Roman" w:hAnsi="Times New Roman"/>
                <w:b w:val="0"/>
                <w:i w:val="0"/>
                <w:sz w:val="18"/>
              </w:rPr>
              <w:t>In trans studies, clocking is the antonym of passing</w:t>
            </w:r>
          </w:p>
        </w:tc>
        <w:tc>
          <w:tcPr>
            <w:tcW w:type="dxa" w:w="3168"/>
          </w:tcPr>
          <w:p>
            <w:pPr>
              <w:spacing w:line="240" w:lineRule="auto" w:after="0"/>
            </w:pPr>
            <w:r/>
            <w:r>
              <w:rPr>
                <w:rFonts w:ascii="Times New Roman" w:hAnsi="Times New Roman"/>
                <w:b w:val="0"/>
                <w:i w:val="0"/>
                <w:sz w:val="18"/>
              </w:rPr>
              <w:t>Wong (2025); Schiffer (2022)</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Passing-as-misrecognition / clocking-as-recognition inversion</w:t>
            </w:r>
          </w:p>
        </w:tc>
        <w:tc>
          <w:tcPr>
            <w:tcW w:type="dxa" w:w="3168"/>
          </w:tcPr>
          <w:p>
            <w:pPr>
              <w:spacing w:line="240" w:lineRule="auto" w:after="0"/>
            </w:pPr>
            <w:r/>
            <w:r>
              <w:rPr>
                <w:rFonts w:ascii="Times New Roman" w:hAnsi="Times New Roman"/>
                <w:b w:val="0"/>
                <w:i w:val="0"/>
                <w:sz w:val="18"/>
              </w:rPr>
              <w:t>Wong (2025)</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Diffusion best framed as racialized appropriation / erasure</w:t>
            </w:r>
          </w:p>
        </w:tc>
        <w:tc>
          <w:tcPr>
            <w:tcW w:type="dxa" w:w="3168"/>
          </w:tcPr>
          <w:p>
            <w:pPr>
              <w:spacing w:line="240" w:lineRule="auto" w:after="0"/>
            </w:pPr>
            <w:r/>
            <w:r>
              <w:rPr>
                <w:rFonts w:ascii="Times New Roman" w:hAnsi="Times New Roman"/>
                <w:b w:val="0"/>
                <w:i w:val="0"/>
                <w:sz w:val="18"/>
              </w:rPr>
              <w:t>Ilbury (2020); Ilbury &amp; Walcott (2026); Crowley (2025)</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clock vs. reading vs. shade are distinct speech acts</w:t>
            </w:r>
          </w:p>
        </w:tc>
        <w:tc>
          <w:tcPr>
            <w:tcW w:type="dxa" w:w="3168"/>
          </w:tcPr>
          <w:p>
            <w:pPr>
              <w:spacing w:line="240" w:lineRule="auto" w:after="0"/>
            </w:pPr>
            <w:r/>
            <w:r>
              <w:rPr>
                <w:rFonts w:ascii="Times New Roman" w:hAnsi="Times New Roman"/>
                <w:b w:val="0"/>
                <w:i w:val="0"/>
                <w:sz w:val="18"/>
              </w:rPr>
              <w:t>McKinnon (2017, 2023); Simmons (2014)</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Probable</w:t>
            </w:r>
          </w:p>
        </w:tc>
      </w:tr>
      <w:tr>
        <w:tc>
          <w:tcPr>
            <w:tcW w:type="dxa" w:w="4176"/>
          </w:tcPr>
          <w:p>
            <w:pPr>
              <w:spacing w:line="240" w:lineRule="auto" w:after="0"/>
            </w:pPr>
            <w:r/>
            <w:r>
              <w:rPr>
                <w:rFonts w:ascii="Times New Roman" w:hAnsi="Times New Roman"/>
                <w:b w:val="0"/>
                <w:i w:val="0"/>
                <w:sz w:val="18"/>
              </w:rPr>
              <w:t>Regional origin (US vs. British) of perception sense</w:t>
            </w:r>
          </w:p>
        </w:tc>
        <w:tc>
          <w:tcPr>
            <w:tcW w:type="dxa" w:w="3168"/>
          </w:tcPr>
          <w:p>
            <w:pPr>
              <w:spacing w:line="240" w:lineRule="auto" w:after="0"/>
            </w:pPr>
            <w:r/>
            <w:r>
              <w:rPr>
                <w:rFonts w:ascii="Times New Roman" w:hAnsi="Times New Roman"/>
                <w:b w:val="0"/>
                <w:i w:val="0"/>
                <w:sz w:val="18"/>
              </w:rPr>
              <w:t>OED vs. usage evidence</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Contested</w:t>
            </w:r>
          </w:p>
        </w:tc>
      </w:tr>
      <w:tr>
        <w:tc>
          <w:tcPr>
            <w:tcW w:type="dxa" w:w="4176"/>
          </w:tcPr>
          <w:p>
            <w:pPr>
              <w:spacing w:line="240" w:lineRule="auto" w:after="0"/>
            </w:pPr>
            <w:r/>
            <w:r>
              <w:rPr>
                <w:rFonts w:ascii="Times New Roman" w:hAnsi="Times New Roman"/>
                <w:b w:val="0"/>
                <w:i w:val="0"/>
                <w:sz w:val="18"/>
              </w:rPr>
              <w:t>No dedicated study of clock; lemma absent in 6 of 7 full texts</w:t>
            </w:r>
          </w:p>
        </w:tc>
        <w:tc>
          <w:tcPr>
            <w:tcW w:type="dxa" w:w="3168"/>
          </w:tcPr>
          <w:p>
            <w:pPr>
              <w:spacing w:line="240" w:lineRule="auto" w:after="0"/>
            </w:pPr>
            <w:r/>
            <w:r>
              <w:rPr>
                <w:rFonts w:ascii="Times New Roman" w:hAnsi="Times New Roman"/>
                <w:b w:val="0"/>
                <w:i w:val="0"/>
                <w:sz w:val="18"/>
              </w:rPr>
              <w:t>Lexical check (this review)</w:t>
            </w:r>
          </w:p>
        </w:tc>
        <w:tc>
          <w:tcPr>
            <w:tcW w:type="dxa" w:w="1440"/>
          </w:tcPr>
          <w:p>
            <w:pPr>
              <w:spacing w:line="240" w:lineRule="auto" w:after="0"/>
            </w:pPr>
            <w:r/>
            <w:r>
              <w:rPr>
                <w:rFonts w:ascii="Times New Roman" w:hAnsi="Times New Roman"/>
                <w:b w:val="0"/>
                <w:i w:val="0"/>
                <w:sz w:val="18"/>
              </w:rPr>
              <w:t>Primary check</w:t>
            </w:r>
          </w:p>
        </w:tc>
        <w:tc>
          <w:tcPr>
            <w:tcW w:type="dxa" w:w="1296"/>
          </w:tcPr>
          <w:p>
            <w:pPr>
              <w:spacing w:line="240" w:lineRule="auto" w:after="0"/>
            </w:pPr>
            <w:r/>
            <w:r>
              <w:rPr>
                <w:rFonts w:ascii="Times New Roman" w:hAnsi="Times New Roman"/>
                <w:b w:val="0"/>
                <w:i w:val="0"/>
                <w:sz w:val="18"/>
              </w:rPr>
              <w:t>Secure</w:t>
            </w:r>
          </w:p>
        </w:tc>
      </w:tr>
    </w:tbl>
    <w:p>
      <w:pPr>
        <w:spacing w:before="40" w:after="160"/>
        <w:jc w:val="left"/>
      </w:pPr>
      <w:r>
        <w:rPr>
          <w:rFonts w:ascii="Times New Roman" w:hAnsi="Times New Roman"/>
          <w:b w:val="0"/>
          <w:i/>
          <w:sz w:val="18"/>
        </w:rPr>
        <w:t xml:space="preserve">Note. </w:t>
      </w:r>
      <w:r>
        <w:rPr>
          <w:rFonts w:ascii="Times New Roman" w:hAnsi="Times New Roman"/>
          <w:b w:val="0"/>
          <w:i w:val="0"/>
          <w:sz w:val="18"/>
        </w:rPr>
        <w:t>Tiers: lexicographic = scholarly slang dictionaries; peer-reviewed = journal articles or scholarly monographs; inference = derived from other evidence; primary check = direct full-text examination conducted for this review.</w:t>
      </w:r>
    </w:p>
    <w:p>
      <w:pPr>
        <w:spacing w:before="240" w:after="80" w:line="240" w:lineRule="auto"/>
        <w:jc w:val="left"/>
      </w:pPr>
      <w:r>
        <w:rPr>
          <w:rFonts w:ascii="Times New Roman" w:hAnsi="Times New Roman"/>
          <w:b/>
          <w:i w:val="0"/>
          <w:sz w:val="26"/>
        </w:rPr>
        <w:t>10. Limitations</w:t>
      </w:r>
    </w:p>
    <w:p>
      <w:pPr>
        <w:spacing w:before="0" w:after="120" w:line="240" w:lineRule="auto"/>
        <w:jc w:val="both"/>
      </w:pPr>
      <w:r>
        <w:rPr>
          <w:rFonts w:ascii="Times New Roman" w:hAnsi="Times New Roman"/>
          <w:b w:val="0"/>
          <w:i w:val="0"/>
          <w:sz w:val="22"/>
        </w:rPr>
        <w:t>This review is constrained by its subject's literature. No peer-reviewed study takes clock as its primary object, so the synthesis necessarily draws the item out of works centered elsewhere. The lexicographic datings rest on scholarly slang dictionaries consulted through catalogue and secondary evidence and warrant confirmation against the OED and Green's full entries, which would also resolve the open questions of regional origin and earliest citation. The full-text lexical check covered a purposive set of seven sources rather than an exhaustive corpus; a larger sample could refine, though it is unlikely to overturn, the lacuna it documents.</w:t>
      </w:r>
    </w:p>
    <w:p>
      <w:pPr>
        <w:spacing w:before="240" w:after="80" w:line="240" w:lineRule="auto"/>
        <w:jc w:val="left"/>
      </w:pPr>
      <w:r>
        <w:rPr>
          <w:rFonts w:ascii="Times New Roman" w:hAnsi="Times New Roman"/>
          <w:b/>
          <w:i w:val="0"/>
          <w:sz w:val="26"/>
        </w:rPr>
        <w:t>11. Conclusion</w:t>
      </w:r>
    </w:p>
    <w:p>
      <w:pPr>
        <w:spacing w:before="0" w:after="120" w:line="240" w:lineRule="auto"/>
        <w:jc w:val="both"/>
      </w:pPr>
      <w:r>
        <w:rPr>
          <w:rFonts w:ascii="Times New Roman" w:hAnsi="Times New Roman"/>
          <w:b w:val="0"/>
          <w:i w:val="0"/>
          <w:sz w:val="22"/>
        </w:rPr>
        <w:t>The verb to clock and its imperative clock it compress, in a single lexical item, three processes that sociolinguistics usually studies apart: documented semantic change, the enregisterment of a minoritized variety, and the racialized appropriation of that variety into a putatively neutral mainstream. The item's history is best told not as a story of ballroom invention but as one of specialization and re-generalization. That the field has theorized the politics of this item far more thoroughly than it has described the item itself is the review's central finding and its principal invitation to future work. To clock the tea, in the end, is to perform exactly the act of recognition this article recommends turning back upon the word itself.</w:t>
      </w:r>
    </w:p>
    <w:p>
      <w:pPr>
        <w:spacing w:before="240" w:after="80" w:line="240" w:lineRule="auto"/>
        <w:jc w:val="left"/>
      </w:pPr>
      <w:r>
        <w:rPr>
          <w:rFonts w:ascii="Times New Roman" w:hAnsi="Times New Roman"/>
          <w:b/>
          <w:i w:val="0"/>
          <w:sz w:val="26"/>
        </w:rPr>
        <w:t>References</w:t>
      </w:r>
    </w:p>
    <w:p>
      <w:pPr>
        <w:spacing w:line="240" w:lineRule="auto" w:after="80"/>
        <w:ind w:left="720" w:hanging="720"/>
        <w:jc w:val="both"/>
      </w:pPr>
      <w:r>
        <w:rPr>
          <w:rFonts w:ascii="Times New Roman" w:hAnsi="Times New Roman"/>
          <w:b w:val="0"/>
          <w:i w:val="0"/>
          <w:sz w:val="20"/>
        </w:rPr>
        <w:t>Agha, A. (2003). The social life of cultural value. Language &amp; Communication, 23(3–4), 231–273. https://doi.org/10.1016/S0271-5309(03)00012-0</w:t>
      </w:r>
    </w:p>
    <w:p>
      <w:pPr>
        <w:spacing w:line="240" w:lineRule="auto" w:after="80"/>
        <w:ind w:left="720" w:hanging="720"/>
        <w:jc w:val="both"/>
      </w:pPr>
      <w:r>
        <w:rPr>
          <w:rFonts w:ascii="Times New Roman" w:hAnsi="Times New Roman"/>
          <w:b w:val="0"/>
          <w:i w:val="0"/>
          <w:sz w:val="20"/>
        </w:rPr>
        <w:t>Bailey, M. M. (2013). Butch queens up in pumps: Gender, performance, and ballroom culture in Detroit. University of Michigan Press.</w:t>
      </w:r>
    </w:p>
    <w:p>
      <w:pPr>
        <w:spacing w:line="240" w:lineRule="auto" w:after="80"/>
        <w:ind w:left="720" w:hanging="720"/>
        <w:jc w:val="both"/>
      </w:pPr>
      <w:r>
        <w:rPr>
          <w:rFonts w:ascii="Times New Roman" w:hAnsi="Times New Roman"/>
          <w:b w:val="0"/>
          <w:i w:val="0"/>
          <w:sz w:val="20"/>
        </w:rPr>
        <w:t>Barrett, R. (1998). Markedness and styleswitching in performances by African American drag queens. In C. Myers-Scotton (Ed.), Codes and consequences: Choosing linguistic varieties (pp. 139–161). Oxford University Press.</w:t>
      </w:r>
    </w:p>
    <w:p>
      <w:pPr>
        <w:spacing w:line="240" w:lineRule="auto" w:after="80"/>
        <w:ind w:left="720" w:hanging="720"/>
        <w:jc w:val="both"/>
      </w:pPr>
      <w:r>
        <w:rPr>
          <w:rFonts w:ascii="Times New Roman" w:hAnsi="Times New Roman"/>
          <w:b w:val="0"/>
          <w:i w:val="0"/>
          <w:sz w:val="20"/>
        </w:rPr>
        <w:t>Barrett, R. (2017). From drag queens to leathermen: Language, gender, and gay male subcultures. Oxford University Press.</w:t>
      </w:r>
    </w:p>
    <w:p>
      <w:pPr>
        <w:spacing w:line="240" w:lineRule="auto" w:after="80"/>
        <w:ind w:left="720" w:hanging="720"/>
        <w:jc w:val="both"/>
      </w:pPr>
      <w:r>
        <w:rPr>
          <w:rFonts w:ascii="Times New Roman" w:hAnsi="Times New Roman"/>
          <w:b w:val="0"/>
          <w:i w:val="0"/>
          <w:sz w:val="20"/>
        </w:rPr>
        <w:t>Beauchamp, T. (2019). Going stealth: Transgender politics and U.S. surveillance practices. Duke University Press.</w:t>
      </w:r>
    </w:p>
    <w:p>
      <w:pPr>
        <w:spacing w:line="240" w:lineRule="auto" w:after="80"/>
        <w:ind w:left="720" w:hanging="720"/>
        <w:jc w:val="both"/>
      </w:pPr>
      <w:r>
        <w:rPr>
          <w:rFonts w:ascii="Times New Roman" w:hAnsi="Times New Roman"/>
          <w:b w:val="0"/>
          <w:i w:val="0"/>
          <w:sz w:val="20"/>
        </w:rPr>
        <w:t>Berrey, L. V., &amp; Van den Bark, M. (1942). The American thesaurus of slang. Thomas Y. Crowell.</w:t>
      </w:r>
    </w:p>
    <w:p>
      <w:pPr>
        <w:spacing w:line="240" w:lineRule="auto" w:after="80"/>
        <w:ind w:left="720" w:hanging="720"/>
        <w:jc w:val="both"/>
      </w:pPr>
      <w:r>
        <w:rPr>
          <w:rFonts w:ascii="Times New Roman" w:hAnsi="Times New Roman"/>
          <w:b w:val="0"/>
          <w:i w:val="0"/>
          <w:sz w:val="20"/>
        </w:rPr>
        <w:t>Crowley, A. (2025). “And it just becomes queer slang”: Race, linguistic innovation, and appropriation within trans communities in the US South. Journal of Linguistic Anthropology, 35(2), e70008. https://doi.org/10.1111/jola.70008</w:t>
      </w:r>
    </w:p>
    <w:p>
      <w:pPr>
        <w:spacing w:line="240" w:lineRule="auto" w:after="80"/>
        <w:ind w:left="720" w:hanging="720"/>
        <w:jc w:val="both"/>
      </w:pPr>
      <w:r>
        <w:rPr>
          <w:rFonts w:ascii="Times New Roman" w:hAnsi="Times New Roman"/>
          <w:b w:val="0"/>
          <w:i w:val="0"/>
          <w:sz w:val="20"/>
        </w:rPr>
        <w:t>Dalzell, T., &amp; Victor, T. (Eds.). (2006). The new Partridge dictionary of slang and unconventional English. Routledge.</w:t>
      </w:r>
    </w:p>
    <w:p>
      <w:pPr>
        <w:spacing w:line="240" w:lineRule="auto" w:after="80"/>
        <w:ind w:left="720" w:hanging="720"/>
        <w:jc w:val="both"/>
      </w:pPr>
      <w:r>
        <w:rPr>
          <w:rFonts w:ascii="Times New Roman" w:hAnsi="Times New Roman"/>
          <w:b w:val="0"/>
          <w:i w:val="0"/>
          <w:sz w:val="20"/>
        </w:rPr>
        <w:t>Goldmark, M. (2015). National drag: The language of inclusion in RuPaul’s Drag Race. GLQ: A Journal of Lesbian and Gay Studies, 21(4), 501–520. https://doi.org/10.1215/10642684-3123665</w:t>
      </w:r>
    </w:p>
    <w:p>
      <w:pPr>
        <w:spacing w:line="240" w:lineRule="auto" w:after="80"/>
        <w:ind w:left="720" w:hanging="720"/>
        <w:jc w:val="both"/>
      </w:pPr>
      <w:r>
        <w:rPr>
          <w:rFonts w:ascii="Times New Roman" w:hAnsi="Times New Roman"/>
          <w:b w:val="0"/>
          <w:i w:val="0"/>
          <w:sz w:val="20"/>
        </w:rPr>
        <w:t>Green, J. (n.d.). Clock, v. In Green’s dictionary of slang. Retrieved June 8, 2026, from https://greensdictofslang.com/entry/acsmoaa</w:t>
      </w:r>
    </w:p>
    <w:p>
      <w:pPr>
        <w:spacing w:line="240" w:lineRule="auto" w:after="80"/>
        <w:ind w:left="720" w:hanging="720"/>
        <w:jc w:val="both"/>
      </w:pPr>
      <w:r>
        <w:rPr>
          <w:rFonts w:ascii="Times New Roman" w:hAnsi="Times New Roman"/>
          <w:b w:val="0"/>
          <w:i w:val="0"/>
          <w:sz w:val="20"/>
        </w:rPr>
        <w:t>Greenhalgh, T., Thorne, S., &amp; Malterud, K. (2018). Time to challenge the spurious hierarchy of systematic over narrative reviews? European Journal of Clinical Investigation, 48(6), e12931. https://doi.org/10.1111/eci.12931</w:t>
      </w:r>
    </w:p>
    <w:p>
      <w:pPr>
        <w:spacing w:line="240" w:lineRule="auto" w:after="80"/>
        <w:ind w:left="720" w:hanging="720"/>
        <w:jc w:val="both"/>
      </w:pPr>
      <w:r>
        <w:rPr>
          <w:rFonts w:ascii="Times New Roman" w:hAnsi="Times New Roman"/>
          <w:b w:val="0"/>
          <w:i w:val="0"/>
          <w:sz w:val="20"/>
        </w:rPr>
        <w:t>Hodes, C., &amp; Sandoval, J. (2018). RuPaul’s Drag Race: A study in the commodification of white ruling-class femininity and the etiolation of drag. Studies in Costume &amp; Performance, 3(2), 149–166. https://doi.org/10.1386/scp.3.2.149_1</w:t>
      </w:r>
    </w:p>
    <w:p>
      <w:pPr>
        <w:spacing w:line="240" w:lineRule="auto" w:after="80"/>
        <w:ind w:left="720" w:hanging="720"/>
        <w:jc w:val="both"/>
      </w:pPr>
      <w:r>
        <w:rPr>
          <w:rFonts w:ascii="Times New Roman" w:hAnsi="Times New Roman"/>
          <w:b w:val="0"/>
          <w:i w:val="0"/>
          <w:sz w:val="20"/>
        </w:rPr>
        <w:t>Homosaurus. (n.d.). Clocking (gender) [homoit0001781]. In Homosaurus (v3). Retrieved June 8, 2026, from https://homosaurus.org/v3/homoit0001781</w:t>
      </w:r>
    </w:p>
    <w:p>
      <w:pPr>
        <w:spacing w:line="240" w:lineRule="auto" w:after="80"/>
        <w:ind w:left="720" w:hanging="720"/>
        <w:jc w:val="both"/>
      </w:pPr>
      <w:r>
        <w:rPr>
          <w:rFonts w:ascii="Times New Roman" w:hAnsi="Times New Roman"/>
          <w:b w:val="0"/>
          <w:i w:val="0"/>
          <w:sz w:val="20"/>
        </w:rPr>
        <w:t>Ilbury, C. (2020). “Sassy queens”: Stylistic orthographic variation in Twitter and the enregisterment of AAVE. Journal of Sociolinguistics, 24(2), 245–264. https://doi.org/10.1111/josl.12366</w:t>
      </w:r>
    </w:p>
    <w:p>
      <w:pPr>
        <w:spacing w:line="240" w:lineRule="auto" w:after="80"/>
        <w:ind w:left="720" w:hanging="720"/>
        <w:jc w:val="both"/>
      </w:pPr>
      <w:r>
        <w:rPr>
          <w:rFonts w:ascii="Times New Roman" w:hAnsi="Times New Roman"/>
          <w:b w:val="0"/>
          <w:i w:val="0"/>
          <w:sz w:val="20"/>
        </w:rPr>
        <w:t>Ilbury, C., &amp; Walcott, R. (2026). “Gen Z language? Y’all mean AAVE”: The appropriation of African American Vernacular English as “TikTok language.” Journal of Sociolinguistics. Advance online publication. https://doi.org/10.1111/josl.70024</w:t>
      </w:r>
    </w:p>
    <w:p>
      <w:pPr>
        <w:spacing w:line="240" w:lineRule="auto" w:after="80"/>
        <w:ind w:left="720" w:hanging="720"/>
        <w:jc w:val="both"/>
      </w:pPr>
      <w:r>
        <w:rPr>
          <w:rFonts w:ascii="Times New Roman" w:hAnsi="Times New Roman"/>
          <w:b w:val="0"/>
          <w:i w:val="0"/>
          <w:sz w:val="20"/>
        </w:rPr>
        <w:t>McKinnon, S. (2017). “Building a thick skin for each other”: The use of “reading” as an interactional practice of mock impoliteness in drag queen backstage talk. Journal of Language and Sexuality, 6(1), 90–127. https://doi.org/10.1075/jls.6.1.04mck</w:t>
      </w:r>
    </w:p>
    <w:p>
      <w:pPr>
        <w:spacing w:line="240" w:lineRule="auto" w:after="80"/>
        <w:ind w:left="720" w:hanging="720"/>
        <w:jc w:val="both"/>
      </w:pPr>
      <w:r>
        <w:rPr>
          <w:rFonts w:ascii="Times New Roman" w:hAnsi="Times New Roman"/>
          <w:b w:val="0"/>
          <w:i w:val="0"/>
          <w:sz w:val="20"/>
        </w:rPr>
        <w:t>McKinnon, S. (2023). “Haute couture? More like haute glue!”: The discourse of the reading challenge in RuPaul’s Drag Race. Journal of Language and Sexuality, 12(1), 73–97. https://doi.org/10.1075/jls.21013</w:t>
      </w:r>
    </w:p>
    <w:p>
      <w:pPr>
        <w:spacing w:line="240" w:lineRule="auto" w:after="80"/>
        <w:ind w:left="720" w:hanging="720"/>
        <w:jc w:val="both"/>
      </w:pPr>
      <w:r>
        <w:rPr>
          <w:rFonts w:ascii="Times New Roman" w:hAnsi="Times New Roman"/>
          <w:b w:val="0"/>
          <w:i w:val="0"/>
          <w:sz w:val="20"/>
        </w:rPr>
        <w:t>Oxford English Dictionary. (n.d.). Clock (n.1, v.). In Oxford English Dictionary. Retrieved June 8, 2026, from https://www.oed.com/dictionary/clock_n1</w:t>
      </w:r>
    </w:p>
    <w:p>
      <w:pPr>
        <w:spacing w:line="240" w:lineRule="auto" w:after="80"/>
        <w:ind w:left="720" w:hanging="720"/>
        <w:jc w:val="both"/>
      </w:pPr>
      <w:r>
        <w:rPr>
          <w:rFonts w:ascii="Times New Roman" w:hAnsi="Times New Roman"/>
          <w:b w:val="0"/>
          <w:i w:val="0"/>
          <w:sz w:val="20"/>
        </w:rPr>
        <w:t>Schiffer, D. J. (2022). Researching while trans: Being clocked and cooling cistress. Journal of Contemporary Ethnography, 51(5), 700–725. https://doi.org/10.1177/08912416221081870</w:t>
      </w:r>
    </w:p>
    <w:p>
      <w:pPr>
        <w:spacing w:line="240" w:lineRule="auto" w:after="80"/>
        <w:ind w:left="720" w:hanging="720"/>
        <w:jc w:val="both"/>
      </w:pPr>
      <w:r>
        <w:rPr>
          <w:rFonts w:ascii="Times New Roman" w:hAnsi="Times New Roman"/>
          <w:b w:val="0"/>
          <w:i w:val="0"/>
          <w:sz w:val="20"/>
        </w:rPr>
        <w:t>Serano, J. (2007). Whipping girl: A transsexual woman on sexism and the scapegoating of femininity. Seal Press.</w:t>
      </w:r>
    </w:p>
    <w:p>
      <w:pPr>
        <w:spacing w:line="240" w:lineRule="auto" w:after="80"/>
        <w:ind w:left="720" w:hanging="720"/>
        <w:jc w:val="both"/>
      </w:pPr>
      <w:r>
        <w:rPr>
          <w:rFonts w:ascii="Times New Roman" w:hAnsi="Times New Roman"/>
          <w:b w:val="0"/>
          <w:i w:val="0"/>
          <w:sz w:val="20"/>
        </w:rPr>
        <w:t>Simmons, N. (2014). Speaking like a queen in RuPaul’s Drag Race: Towards a speech code of American drag queens. Sexuality &amp; Culture, 18(3), 630–648. https://doi.org/10.1007/s12119-013-9213-2</w:t>
      </w:r>
    </w:p>
    <w:p>
      <w:pPr>
        <w:spacing w:line="240" w:lineRule="auto" w:after="80"/>
        <w:ind w:left="720" w:hanging="720"/>
        <w:jc w:val="both"/>
      </w:pPr>
      <w:r>
        <w:rPr>
          <w:rFonts w:ascii="Times New Roman" w:hAnsi="Times New Roman"/>
          <w:b w:val="0"/>
          <w:i w:val="0"/>
          <w:sz w:val="20"/>
        </w:rPr>
        <w:t>Wong, J. (2025). Ambivalences of trans recognition. Hypatia, 40(2), 269–289. https://doi.org/10.1017/hyp.2024.61</w:t>
      </w:r>
    </w:p>
    <w:p>
      <w:pPr>
        <w:spacing w:line="240" w:lineRule="auto" w:after="80"/>
        <w:ind w:left="720" w:hanging="720"/>
        <w:jc w:val="both"/>
      </w:pPr>
      <w:r>
        <w:rPr>
          <w:rFonts w:ascii="Times New Roman" w:hAnsi="Times New Roman"/>
          <w:b w:val="0"/>
          <w:i w:val="0"/>
          <w:sz w:val="20"/>
        </w:rPr>
        <w:t>Zimman, L. (2020). Transgender language, transgender moment: Toward a trans linguistics. In K. Hall &amp; R. Barrett (Eds.), The Oxford handbook of language and sexuality.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