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40" w:lineRule="auto"/>
        <w:jc w:val="center"/>
      </w:pPr>
      <w:r>
        <w:rPr>
          <w:rFonts w:ascii="Times New Roman" w:hAnsi="Times New Roman"/>
          <w:b/>
          <w:sz w:val="32"/>
        </w:rPr>
        <w:t>Phatic-Only Slang and the Limits of Meaning-Based Lexical Theory: A Sociolinguistic Review of the “6-7” Meme</w:t>
      </w:r>
    </w:p>
    <w:p>
      <w:pPr>
        <w:spacing w:before="0" w:after="40" w:line="240" w:lineRule="auto"/>
        <w:jc w:val="center"/>
      </w:pPr>
      <w:r>
        <w:rPr>
          <w:rFonts w:ascii="Times New Roman" w:hAnsi="Times New Roman"/>
          <w:sz w:val="24"/>
        </w:rPr>
        <w:t>[Author Name] ¹*</w:t>
      </w:r>
    </w:p>
    <w:p>
      <w:pPr>
        <w:spacing w:before="0" w:after="200" w:line="240" w:lineRule="auto"/>
        <w:jc w:val="center"/>
      </w:pPr>
      <w:r>
        <w:rPr>
          <w:rFonts w:ascii="Times New Roman" w:hAnsi="Times New Roman"/>
          <w:sz w:val="20"/>
        </w:rPr>
        <w:t>¹ [Department / Faculty, Institution, City, Country]    * Corresponding author: [email]</w:t>
      </w:r>
    </w:p>
    <w:p>
      <w:pPr>
        <w:spacing w:before="0" w:after="40" w:line="240" w:lineRule="auto"/>
      </w:pPr>
      <w:r>
        <w:rPr>
          <w:rFonts w:ascii="Times New Roman" w:hAnsi="Times New Roman"/>
          <w:b/>
          <w:sz w:val="24"/>
        </w:rPr>
        <w:t>Abstract</w:t>
      </w:r>
    </w:p>
    <w:p>
      <w:pPr>
        <w:spacing w:before="0" w:after="120" w:line="240" w:lineRule="auto"/>
        <w:jc w:val="both"/>
      </w:pPr>
      <w:r>
        <w:rPr>
          <w:rFonts w:ascii="Times New Roman" w:hAnsi="Times New Roman"/>
          <w:b/>
          <w:sz w:val="20"/>
        </w:rPr>
        <w:t>Background.</w:t>
      </w:r>
      <w:r>
        <w:rPr>
          <w:rFonts w:ascii="Times New Roman" w:hAnsi="Times New Roman"/>
          <w:b/>
          <w:sz w:val="20"/>
        </w:rPr>
        <w:t xml:space="preserve"> In October 2025 Dictionary.com named “67” (rendered </w:t>
      </w:r>
      <w:r>
        <w:rPr>
          <w:rFonts w:ascii="Times New Roman" w:hAnsi="Times New Roman"/>
          <w:b/>
          <w:i/>
          <w:sz w:val="20"/>
        </w:rPr>
        <w:t>6-7</w:t>
      </w:r>
      <w:r>
        <w:rPr>
          <w:rFonts w:ascii="Times New Roman" w:hAnsi="Times New Roman"/>
          <w:b/>
          <w:sz w:val="20"/>
        </w:rPr>
        <w:t xml:space="preserve">, pronounced </w:t>
      </w:r>
      <w:r>
        <w:rPr>
          <w:rFonts w:ascii="Times New Roman" w:hAnsi="Times New Roman"/>
          <w:b/>
          <w:i/>
          <w:sz w:val="20"/>
        </w:rPr>
        <w:t>six-seven</w:t>
      </w:r>
      <w:r>
        <w:rPr>
          <w:rFonts w:ascii="Times New Roman" w:hAnsi="Times New Roman"/>
          <w:b/>
          <w:sz w:val="20"/>
        </w:rPr>
        <w:t xml:space="preserve">) its Word of the Year while conceding that the term is “impossible to define.” A non-sequitur interjection that spread among Generation Alpha through TikTok, basketball highlight edits, and a Philadelphia drill song, </w:t>
      </w:r>
      <w:r>
        <w:rPr>
          <w:rFonts w:ascii="Times New Roman" w:hAnsi="Times New Roman"/>
          <w:b/>
          <w:i/>
          <w:sz w:val="20"/>
        </w:rPr>
        <w:t>6-7</w:t>
      </w:r>
      <w:r>
        <w:rPr>
          <w:rFonts w:ascii="Times New Roman" w:hAnsi="Times New Roman"/>
          <w:b/>
          <w:sz w:val="20"/>
        </w:rPr>
        <w:t xml:space="preserve"> appears to carry no referential content yet remains demonstrably meaningful to those who use it. </w:t>
      </w:r>
      <w:r>
        <w:rPr>
          <w:rFonts w:ascii="Times New Roman" w:hAnsi="Times New Roman"/>
          <w:b/>
          <w:sz w:val="20"/>
        </w:rPr>
        <w:t>Objective.</w:t>
      </w:r>
      <w:r>
        <w:rPr>
          <w:rFonts w:ascii="Times New Roman" w:hAnsi="Times New Roman"/>
          <w:b/>
          <w:sz w:val="20"/>
        </w:rPr>
        <w:t xml:space="preserve"> This narrative review asks what such a phatic-only slang term reveals about the limits of meaning-based—referential and truth-conditional—lexical theory, and which frameworks best account for it. </w:t>
      </w:r>
      <w:r>
        <w:rPr>
          <w:rFonts w:ascii="Times New Roman" w:hAnsi="Times New Roman"/>
          <w:b/>
          <w:sz w:val="20"/>
        </w:rPr>
        <w:t>Methods.</w:t>
      </w:r>
      <w:r>
        <w:rPr>
          <w:rFonts w:ascii="Times New Roman" w:hAnsi="Times New Roman"/>
          <w:b/>
          <w:sz w:val="20"/>
        </w:rPr>
        <w:t xml:space="preserve"> A structured narrative review synthesised conceptual, empirical, and lexicographic literature across five thematic search angles; extracted claims were rendered falsifiable and subjected to an adversarial verification pass that actively sought to refute them. </w:t>
      </w:r>
      <w:r>
        <w:rPr>
          <w:rFonts w:ascii="Times New Roman" w:hAnsi="Times New Roman"/>
          <w:b/>
          <w:sz w:val="20"/>
        </w:rPr>
        <w:t>Findings.</w:t>
      </w:r>
      <w:r>
        <w:rPr>
          <w:rFonts w:ascii="Times New Roman" w:hAnsi="Times New Roman"/>
          <w:b/>
          <w:sz w:val="20"/>
        </w:rPr>
        <w:t xml:space="preserve"> Linguists and lexicographers converge on a single reading: </w:t>
      </w:r>
      <w:r>
        <w:rPr>
          <w:rFonts w:ascii="Times New Roman" w:hAnsi="Times New Roman"/>
          <w:b/>
          <w:i/>
          <w:sz w:val="20"/>
        </w:rPr>
        <w:t>6-7</w:t>
      </w:r>
      <w:r>
        <w:rPr>
          <w:rFonts w:ascii="Times New Roman" w:hAnsi="Times New Roman"/>
          <w:b/>
          <w:sz w:val="20"/>
        </w:rPr>
        <w:t xml:space="preserve"> is semantically near-void but socially potent, operating as an in-group shibboleth through semantic bleaching, expressive (use-conditional) meaning, and sociolinguistic indexicality. It instantiates Malinowski’s (1923) phatic communion and Jakobson’s (1960) phatic function. </w:t>
      </w:r>
      <w:r>
        <w:rPr>
          <w:rFonts w:ascii="Times New Roman" w:hAnsi="Times New Roman"/>
          <w:b/>
          <w:sz w:val="20"/>
        </w:rPr>
        <w:t>Conclusions.</w:t>
      </w:r>
      <w:r>
        <w:rPr>
          <w:rFonts w:ascii="Times New Roman" w:hAnsi="Times New Roman"/>
          <w:b/>
          <w:sz w:val="20"/>
        </w:rPr>
        <w:t xml:space="preserve"> </w:t>
      </w:r>
      <w:r>
        <w:rPr>
          <w:rFonts w:ascii="Times New Roman" w:hAnsi="Times New Roman"/>
          <w:b/>
          <w:i/>
          <w:sz w:val="20"/>
        </w:rPr>
        <w:t>6-7</w:t>
      </w:r>
      <w:r>
        <w:rPr>
          <w:rFonts w:ascii="Times New Roman" w:hAnsi="Times New Roman"/>
          <w:b/>
          <w:sz w:val="20"/>
        </w:rPr>
        <w:t xml:space="preserve"> does not refute referential semantics so much as map its boundary; a complete theory of the lexicon requires use-based, expressive, and indexical supplementation. The paradox of a dictionary defining the indefinable is best read not as an embarrassment but as a diagnostic signal about what lexical meaning can be.</w:t>
      </w:r>
    </w:p>
    <w:p>
      <w:pPr>
        <w:spacing w:before="0" w:after="200" w:line="240" w:lineRule="auto"/>
        <w:jc w:val="both"/>
      </w:pPr>
      <w:r>
        <w:rPr>
          <w:rFonts w:ascii="Times New Roman" w:hAnsi="Times New Roman"/>
          <w:b/>
          <w:sz w:val="20"/>
        </w:rPr>
        <w:t>Keywords: phatic communion; phatic function; lexical semantics; expressive meaning; sociolinguistic indexicality; slang; internet linguistics; brainrot; Generation Alpha</w:t>
      </w:r>
    </w:p>
    <w:p>
      <w:pPr>
        <w:spacing w:before="240" w:after="80" w:line="240" w:lineRule="auto"/>
      </w:pPr>
      <w:r>
        <w:rPr>
          <w:rFonts w:ascii="Times New Roman" w:hAnsi="Times New Roman"/>
          <w:b/>
          <w:sz w:val="26"/>
        </w:rPr>
        <w:t>1. Introduction</w:t>
      </w:r>
    </w:p>
    <w:p>
      <w:pPr>
        <w:spacing w:before="0" w:after="120" w:line="240" w:lineRule="auto"/>
        <w:jc w:val="both"/>
      </w:pPr>
      <w:r>
        <w:rPr>
          <w:rFonts w:ascii="Times New Roman" w:hAnsi="Times New Roman"/>
          <w:sz w:val="22"/>
        </w:rPr>
        <w:t xml:space="preserve">The lexicographer’s traditional task—pairing a word-form with a definition—presupposes that words have meanings of the kind a definition can capture. Most do. But a recurring challenge to meaning-based lexical theory comes from expressions that resist this pairing: interjections, expletives, discourse particles, greetings, and the formulaic small talk that linguists since Malinowski (1923) have grouped under the heading of </w:t>
      </w:r>
      <w:r>
        <w:rPr>
          <w:rFonts w:ascii="Times New Roman" w:hAnsi="Times New Roman"/>
          <w:i/>
          <w:sz w:val="22"/>
        </w:rPr>
        <w:t>phatic</w:t>
      </w:r>
      <w:r>
        <w:rPr>
          <w:rFonts w:ascii="Times New Roman" w:hAnsi="Times New Roman"/>
          <w:sz w:val="22"/>
        </w:rPr>
        <w:t xml:space="preserve"> language. These items perform real communicative work, yet they are difficult or impossible to define in referential terms.</w:t>
      </w:r>
    </w:p>
    <w:p>
      <w:pPr>
        <w:spacing w:before="0" w:after="120" w:line="240" w:lineRule="auto"/>
        <w:jc w:val="both"/>
      </w:pPr>
      <w:r>
        <w:rPr>
          <w:rFonts w:ascii="Times New Roman" w:hAnsi="Times New Roman"/>
          <w:sz w:val="22"/>
        </w:rPr>
        <w:t xml:space="preserve">The viral slang term </w:t>
      </w:r>
      <w:r>
        <w:rPr>
          <w:rFonts w:ascii="Times New Roman" w:hAnsi="Times New Roman"/>
          <w:i/>
          <w:sz w:val="22"/>
        </w:rPr>
        <w:t>6-7</w:t>
      </w:r>
      <w:r>
        <w:rPr>
          <w:rFonts w:ascii="Times New Roman" w:hAnsi="Times New Roman"/>
          <w:sz w:val="22"/>
        </w:rPr>
        <w:t xml:space="preserve"> is a near-perfect specimen of this class, and its 2025 elevation to Word of the Year by a dictionary—an institution whose entire enterprise is definition—sharpens the theoretical problem into something approaching paradox. When Dictionary.com’s Director of Lexicography, Steve Johnson, says the term is “part inside joke, part social signal and part performance” and that “when people say it, they’re not just repeating a meme; they’re shouting a feeling” (Smithsonian Magazine, 2025), he is describing an item whose value lies almost entirely outside the denotational dimension that meaning-based theory privileges.</w:t>
      </w:r>
    </w:p>
    <w:p>
      <w:pPr>
        <w:spacing w:before="0" w:after="120" w:line="240" w:lineRule="auto"/>
        <w:jc w:val="both"/>
      </w:pPr>
      <w:r>
        <w:rPr>
          <w:rFonts w:ascii="Times New Roman" w:hAnsi="Times New Roman"/>
          <w:sz w:val="22"/>
        </w:rPr>
        <w:t xml:space="preserve">This review pursues four aims. First, it documents the empirical phenomenon: the origins, spread, and reception of </w:t>
      </w:r>
      <w:r>
        <w:rPr>
          <w:rFonts w:ascii="Times New Roman" w:hAnsi="Times New Roman"/>
          <w:i/>
          <w:sz w:val="22"/>
        </w:rPr>
        <w:t>6-7</w:t>
      </w:r>
      <w:r>
        <w:rPr>
          <w:rFonts w:ascii="Times New Roman" w:hAnsi="Times New Roman"/>
          <w:sz w:val="22"/>
        </w:rPr>
        <w:t xml:space="preserve"> (Section 3). Second, it situates the term within the theory of phatic communication (Section 4). Third, it lays out the commitments of meaning-based lexical theory—referential, truth-conditional, and lexical-semantic approaches (Section 5). Fourth, it argues that phatic-only slang like </w:t>
      </w:r>
      <w:r>
        <w:rPr>
          <w:rFonts w:ascii="Times New Roman" w:hAnsi="Times New Roman"/>
          <w:i/>
          <w:sz w:val="22"/>
        </w:rPr>
        <w:t>6-7</w:t>
      </w:r>
      <w:r>
        <w:rPr>
          <w:rFonts w:ascii="Times New Roman" w:hAnsi="Times New Roman"/>
          <w:sz w:val="22"/>
        </w:rPr>
        <w:t xml:space="preserve"> tests the limits of those approaches, and that the most adequate accounts come from use-based, expressivist, and indexical frameworks (Sections 6–7). The synthesis is interdisciplinary, treating the meme not as a curiosity but as naturally occurring evidence about the architecture of lexical meaning.</w:t>
      </w:r>
    </w:p>
    <w:p>
      <w:pPr>
        <w:spacing w:before="240" w:after="80" w:line="240" w:lineRule="auto"/>
      </w:pPr>
      <w:r>
        <w:rPr>
          <w:rFonts w:ascii="Times New Roman" w:hAnsi="Times New Roman"/>
          <w:b/>
          <w:sz w:val="26"/>
        </w:rPr>
        <w:t>2. Methods</w:t>
      </w:r>
    </w:p>
    <w:p>
      <w:pPr>
        <w:spacing w:before="160" w:after="40" w:line="240" w:lineRule="auto"/>
      </w:pPr>
      <w:r>
        <w:rPr>
          <w:rFonts w:ascii="Times New Roman" w:hAnsi="Times New Roman"/>
          <w:b/>
          <w:sz w:val="24"/>
        </w:rPr>
        <w:t>2.1 Review design and search strategy</w:t>
      </w:r>
    </w:p>
    <w:p>
      <w:pPr>
        <w:spacing w:before="0" w:after="120" w:line="240" w:lineRule="auto"/>
        <w:jc w:val="both"/>
      </w:pPr>
      <w:r>
        <w:rPr>
          <w:rFonts w:ascii="Times New Roman" w:hAnsi="Times New Roman"/>
          <w:sz w:val="22"/>
        </w:rPr>
        <w:t xml:space="preserve">This study adopts a structured narrative—rather than systematic—review design, appropriate because the object spans a fast-moving cultural phenomenon and several mature but separate theoretical literatures that no single systematic protocol indexes well. Five thematic search angles were defined a priori: (i) the trajectory of the </w:t>
      </w:r>
      <w:r>
        <w:rPr>
          <w:rFonts w:ascii="Times New Roman" w:hAnsi="Times New Roman"/>
          <w:i/>
          <w:sz w:val="22"/>
        </w:rPr>
        <w:t>6-7</w:t>
      </w:r>
      <w:r>
        <w:rPr>
          <w:rFonts w:ascii="Times New Roman" w:hAnsi="Times New Roman"/>
          <w:sz w:val="22"/>
        </w:rPr>
        <w:t xml:space="preserve"> meme; (ii) phatic communication and the phatic function; (iii) meaning-based versus use-based theories of lexical meaning; (iv) slang formation, internet linguistics, and memetics; and (v) the theoretical nexus joining phatic-only expression to lexical theory. Each angle was pursued through an independent fan-out of web searches across encyclopaedic, scholarly, lexicographic, and journalistic sources in June 2026 (Figure 1).</w:t>
      </w:r>
    </w:p>
    <w:p>
      <w:pPr>
        <w:spacing w:before="0" w:after="120" w:line="240" w:lineRule="auto"/>
        <w:jc w:val="both"/>
      </w:pPr>
      <w:r>
        <w:rPr>
          <w:rFonts w:ascii="Times New Roman" w:hAnsi="Times New Roman"/>
          <w:sz w:val="22"/>
        </w:rPr>
        <w:t xml:space="preserve">The review is organised around three research questions. </w:t>
      </w:r>
      <w:r>
        <w:rPr>
          <w:rFonts w:ascii="Times New Roman" w:hAnsi="Times New Roman"/>
          <w:b/>
          <w:sz w:val="22"/>
        </w:rPr>
        <w:t>RQ1:</w:t>
      </w:r>
      <w:r>
        <w:rPr>
          <w:rFonts w:ascii="Times New Roman" w:hAnsi="Times New Roman"/>
          <w:sz w:val="22"/>
        </w:rPr>
        <w:t xml:space="preserve"> What are the documented origins, spread, and use of </w:t>
      </w:r>
      <w:r>
        <w:rPr>
          <w:rFonts w:ascii="Times New Roman" w:hAnsi="Times New Roman"/>
          <w:i/>
          <w:sz w:val="22"/>
        </w:rPr>
        <w:t>6-7</w:t>
      </w:r>
      <w:r>
        <w:rPr>
          <w:rFonts w:ascii="Times New Roman" w:hAnsi="Times New Roman"/>
          <w:sz w:val="22"/>
        </w:rPr>
        <w:t xml:space="preserve">, and what do users and experts take it to mean? </w:t>
      </w:r>
      <w:r>
        <w:rPr>
          <w:rFonts w:ascii="Times New Roman" w:hAnsi="Times New Roman"/>
          <w:b/>
          <w:sz w:val="22"/>
        </w:rPr>
        <w:t>RQ2:</w:t>
      </w:r>
      <w:r>
        <w:rPr>
          <w:rFonts w:ascii="Times New Roman" w:hAnsi="Times New Roman"/>
          <w:sz w:val="22"/>
        </w:rPr>
        <w:t xml:space="preserve"> How do meaning-based theories of the lexicon handle—or fail to handle—an item with no referential content? </w:t>
      </w:r>
      <w:r>
        <w:rPr>
          <w:rFonts w:ascii="Times New Roman" w:hAnsi="Times New Roman"/>
          <w:b/>
          <w:sz w:val="22"/>
        </w:rPr>
        <w:t>RQ3:</w:t>
      </w:r>
      <w:r>
        <w:rPr>
          <w:rFonts w:ascii="Times New Roman" w:hAnsi="Times New Roman"/>
          <w:sz w:val="22"/>
        </w:rPr>
        <w:t xml:space="preserve"> Which theoretical frameworks best account for a phatic-only slang term, and what does the case imply for lexical theory more broadly?</w:t>
      </w:r>
    </w:p>
    <w:p>
      <w:pPr>
        <w:spacing w:before="160" w:after="40" w:line="240" w:lineRule="auto"/>
      </w:pPr>
      <w:r>
        <w:rPr>
          <w:rFonts w:ascii="Times New Roman" w:hAnsi="Times New Roman"/>
          <w:b/>
          <w:sz w:val="24"/>
        </w:rPr>
        <w:t>2.2 Source selection</w:t>
      </w:r>
    </w:p>
    <w:p>
      <w:pPr>
        <w:spacing w:before="0" w:after="120" w:line="240" w:lineRule="auto"/>
        <w:jc w:val="both"/>
      </w:pPr>
      <w:r>
        <w:rPr>
          <w:rFonts w:ascii="Times New Roman" w:hAnsi="Times New Roman"/>
          <w:sz w:val="22"/>
        </w:rPr>
        <w:t>Sources were retained on the basis of relevance and authority. Three tiers were distinguished: (a) primary theoretical texts (e.g., Malinowski, 1923; Jakobson, 1960; Wittgenstein, 1953; Potts, 2005, 2007; Eckert, 2008); (b) peer-reviewed or scholarly secondary sources and reference works; and (c) reputable journalism and lexicographic statements, used chiefly for the contemporary phenomenon and always preferring pieces that quote named linguists (e.g., Taylor Jones, Valerie Fridland, Adam Aleksic, Cynthia Gordon). Popular sources were not used to support theoretical claims.</w:t>
      </w:r>
    </w:p>
    <w:p>
      <w:pPr>
        <w:spacing w:before="160" w:after="40" w:line="240" w:lineRule="auto"/>
      </w:pPr>
      <w:r>
        <w:rPr>
          <w:rFonts w:ascii="Times New Roman" w:hAnsi="Times New Roman"/>
          <w:b/>
          <w:sz w:val="24"/>
        </w:rPr>
        <w:t>2.3 Adversarial verification protocol</w:t>
      </w:r>
    </w:p>
    <w:p>
      <w:pPr>
        <w:spacing w:before="0" w:after="120" w:line="240" w:lineRule="auto"/>
        <w:jc w:val="both"/>
      </w:pPr>
      <w:r>
        <w:rPr>
          <w:rFonts w:ascii="Times New Roman" w:hAnsi="Times New Roman"/>
          <w:sz w:val="22"/>
        </w:rPr>
        <w:t xml:space="preserve">To mitigate the risk of citing fabricated, misremembered, or misattributed findings, each substantive claim was rendered as a falsifiable statement and assigned a provisional confidence level. High-stakes claims and all medium- or low-confidence claims were then subjected to an adversarial verification pass in which independent counter-searches actively sought to refute them; a claim survived only under corroboration from multiple independent sources, and was otherwise corrected or struck. No claim was struck. Two citation corrections were applied: Firth’s “company it keeps” dictum was re-sourced to “A Synopsis of Linguistic Theory, 1930–1955” (Firth, 1957) rather than to </w:t>
      </w:r>
      <w:r>
        <w:rPr>
          <w:rFonts w:ascii="Times New Roman" w:hAnsi="Times New Roman"/>
          <w:i/>
          <w:sz w:val="22"/>
        </w:rPr>
        <w:t>Papers in Linguistics</w:t>
      </w:r>
      <w:r>
        <w:rPr>
          <w:rFonts w:ascii="Times New Roman" w:hAnsi="Times New Roman"/>
          <w:sz w:val="22"/>
        </w:rPr>
        <w:t>, and the term “indexical field” was credited to Eckert (2008) rather than to her 2018 book. Verbatim quotations from primary texts (Malinowski, Jakobson, Wittgenstein §43, Kaplan, Potts) were confirmed across multiple sources; the Wittgenstein §43 quotation follows the Anscombe translation.</w:t>
      </w:r>
    </w:p>
    <w:p>
      <w:pPr>
        <w:spacing w:before="160" w:after="40" w:line="240" w:lineRule="auto"/>
      </w:pPr>
      <w:r>
        <w:rPr>
          <w:rFonts w:ascii="Times New Roman" w:hAnsi="Times New Roman"/>
          <w:b/>
          <w:sz w:val="24"/>
        </w:rPr>
        <w:t>2.4 Limitations of the method</w:t>
      </w:r>
    </w:p>
    <w:p>
      <w:pPr>
        <w:spacing w:before="0" w:after="120" w:line="240" w:lineRule="auto"/>
        <w:jc w:val="both"/>
      </w:pPr>
      <w:r>
        <w:rPr>
          <w:rFonts w:ascii="Times New Roman" w:hAnsi="Times New Roman"/>
          <w:sz w:val="22"/>
        </w:rPr>
        <w:t xml:space="preserve">As a narrative review, this synthesis is interpretive and non-exhaustive. The phenomenon is recent, so the contemporary evidence base leans on lexicographic statements and journalism quoting linguists rather than on peer-reviewed studies of </w:t>
      </w:r>
      <w:r>
        <w:rPr>
          <w:rFonts w:ascii="Times New Roman" w:hAnsi="Times New Roman"/>
          <w:i/>
          <w:sz w:val="22"/>
        </w:rPr>
        <w:t>6-7</w:t>
      </w:r>
      <w:r>
        <w:rPr>
          <w:rFonts w:ascii="Times New Roman" w:hAnsi="Times New Roman"/>
          <w:sz w:val="22"/>
        </w:rPr>
        <w:t xml:space="preserve"> itself. The phatic-only items under study are characteristically ephemeral, and one origin claim—the </w:t>
      </w:r>
      <w:r>
        <w:rPr>
          <w:rFonts w:ascii="Times New Roman" w:hAnsi="Times New Roman"/>
          <w:i/>
          <w:sz w:val="22"/>
        </w:rPr>
        <w:t>10-67</w:t>
      </w:r>
      <w:r>
        <w:rPr>
          <w:rFonts w:ascii="Times New Roman" w:hAnsi="Times New Roman"/>
          <w:sz w:val="22"/>
        </w:rPr>
        <w:t xml:space="preserve"> police-code etymology—remains unverified speculation. These constraints bound the strength, though not the direction, of the conclusions.</w:t>
      </w:r>
    </w:p>
    <w:p>
      <w:pPr>
        <w:spacing w:before="160" w:after="40" w:line="240" w:lineRule="auto"/>
        <w:jc w:val="center"/>
      </w:pPr>
      <w:r>
        <w:drawing>
          <wp:inline xmlns:a="http://schemas.openxmlformats.org/drawingml/2006/main" xmlns:pic="http://schemas.openxmlformats.org/drawingml/2006/picture">
            <wp:extent cx="5394960" cy="1765777"/>
            <wp:docPr id="1" name="Picture 1"/>
            <wp:cNvGraphicFramePr>
              <a:graphicFrameLocks noChangeAspect="1"/>
            </wp:cNvGraphicFramePr>
            <a:graphic>
              <a:graphicData uri="http://schemas.openxmlformats.org/drawingml/2006/picture">
                <pic:pic>
                  <pic:nvPicPr>
                    <pic:cNvPr id="0" name="fig1_workflow.png"/>
                    <pic:cNvPicPr/>
                  </pic:nvPicPr>
                  <pic:blipFill>
                    <a:blip r:embed="rId9"/>
                    <a:stretch>
                      <a:fillRect/>
                    </a:stretch>
                  </pic:blipFill>
                  <pic:spPr>
                    <a:xfrm>
                      <a:off x="0" y="0"/>
                      <a:ext cx="5394960" cy="1765777"/>
                    </a:xfrm>
                    <a:prstGeom prst="rect"/>
                  </pic:spPr>
                </pic:pic>
              </a:graphicData>
            </a:graphic>
          </wp:inline>
        </w:drawing>
      </w:r>
    </w:p>
    <w:p>
      <w:pPr>
        <w:spacing w:before="0" w:after="160" w:line="240" w:lineRule="auto"/>
        <w:jc w:val="center"/>
      </w:pPr>
      <w:r>
        <w:rPr>
          <w:rFonts w:ascii="Times New Roman" w:hAnsi="Times New Roman"/>
          <w:b/>
          <w:sz w:val="18"/>
        </w:rPr>
        <w:t>Figure 1. Structured narrative-review and adversarial-verification workflow.</w:t>
      </w:r>
    </w:p>
    <w:p>
      <w:pPr>
        <w:spacing w:before="240" w:after="80" w:line="240" w:lineRule="auto"/>
      </w:pPr>
      <w:r>
        <w:rPr>
          <w:rFonts w:ascii="Times New Roman" w:hAnsi="Times New Roman"/>
          <w:b/>
          <w:sz w:val="26"/>
        </w:rPr>
        <w:t>3. The “6-7” Phenomenon: Origins, Spread, and Reception</w:t>
      </w:r>
    </w:p>
    <w:p>
      <w:pPr>
        <w:spacing w:before="160" w:after="40" w:line="240" w:lineRule="auto"/>
      </w:pPr>
      <w:r>
        <w:rPr>
          <w:rFonts w:ascii="Times New Roman" w:hAnsi="Times New Roman"/>
          <w:b/>
          <w:sz w:val="24"/>
        </w:rPr>
        <w:t>3.1 Origins</w:t>
      </w:r>
    </w:p>
    <w:p>
      <w:pPr>
        <w:spacing w:before="0" w:after="120" w:line="240" w:lineRule="auto"/>
        <w:jc w:val="both"/>
      </w:pPr>
      <w:r>
        <w:rPr>
          <w:rFonts w:ascii="Times New Roman" w:hAnsi="Times New Roman"/>
          <w:sz w:val="22"/>
        </w:rPr>
        <w:t xml:space="preserve">The proximate origin of </w:t>
      </w:r>
      <w:r>
        <w:rPr>
          <w:rFonts w:ascii="Times New Roman" w:hAnsi="Times New Roman"/>
          <w:i/>
          <w:sz w:val="22"/>
        </w:rPr>
        <w:t>6-7</w:t>
      </w:r>
      <w:r>
        <w:rPr>
          <w:rFonts w:ascii="Times New Roman" w:hAnsi="Times New Roman"/>
          <w:sz w:val="22"/>
        </w:rPr>
        <w:t xml:space="preserve"> is “Doot Doot (6 7),” a Philadelphia drill song by the rapper Skrilla (produced by 1Ellis). The track leaked to streaming platforms in December 2024 and was officially released via Priority Records on 7 February 2025, later appearing on the deluxe edition of Skrilla’s </w:t>
      </w:r>
      <w:r>
        <w:rPr>
          <w:rFonts w:ascii="Times New Roman" w:hAnsi="Times New Roman"/>
          <w:i/>
          <w:sz w:val="22"/>
        </w:rPr>
        <w:t>Zombie Love Kensington Paradise</w:t>
      </w:r>
      <w:r>
        <w:rPr>
          <w:rFonts w:ascii="Times New Roman" w:hAnsi="Times New Roman"/>
          <w:sz w:val="22"/>
        </w:rPr>
        <w:t xml:space="preserve"> (Wikipedia contributors, n.d.-b). Crucially, the phrase was born semantically underdetermined: Skrilla has declined to fix its meaning, reportedly saying “I never put an actual meaning on it, and I still would not want to,” and elsewhere describing it as representing “what comes up in my head” (Complex, 2025; WHYY, 2025). Proposed sources—a Philadelphia or Chicago street, or, per linguist Taylor Jones, the police ten-code </w:t>
      </w:r>
      <w:r>
        <w:rPr>
          <w:rFonts w:ascii="Times New Roman" w:hAnsi="Times New Roman"/>
          <w:i/>
          <w:sz w:val="22"/>
        </w:rPr>
        <w:t>10-67</w:t>
      </w:r>
      <w:r>
        <w:rPr>
          <w:rFonts w:ascii="Times New Roman" w:hAnsi="Times New Roman"/>
          <w:sz w:val="22"/>
        </w:rPr>
        <w:t xml:space="preserve"> used to report a death—remain speculative (CNN, 2025). The indeterminacy is not a gap in our knowledge; it is constitutive of the term.</w:t>
      </w:r>
    </w:p>
    <w:p>
      <w:pPr>
        <w:spacing w:before="160" w:after="40" w:line="240" w:lineRule="auto"/>
      </w:pPr>
      <w:r>
        <w:rPr>
          <w:rFonts w:ascii="Times New Roman" w:hAnsi="Times New Roman"/>
          <w:b/>
          <w:sz w:val="24"/>
        </w:rPr>
        <w:t>3.2 Spread</w:t>
      </w:r>
    </w:p>
    <w:p>
      <w:pPr>
        <w:spacing w:before="0" w:after="120" w:line="240" w:lineRule="auto"/>
        <w:jc w:val="both"/>
      </w:pPr>
      <w:r>
        <w:rPr>
          <w:rFonts w:ascii="Times New Roman" w:hAnsi="Times New Roman"/>
          <w:sz w:val="22"/>
        </w:rPr>
        <w:t xml:space="preserve">The phrase migrated from music to mass meme through basketball. Highlight edits paired the lyric with footage of players listed at six-foot-seven, most prominently LaMelo Ball (2.01 m), exploiting the literal height coincidence (Bleacher Report, n.d.). On 31 March 2025 a YouTube AAU-basketball video by Cam Wilder featured a young boy—later dubbed the “67 Kid”—shouting “six seven” with a palms-up, alternating up-and-down hand gesture; the clip became a primary vector of virality (Wikipedia contributors, n.d.-a). By autumn 2025 the term saturated NBA and WNBA media, NFL celebrations, and celebrity content—Shaquille O’Neal reportedly joined in while admitting he did not understand it, a telling detail for a term whose use is detached from comprehension. Dictionary.com (2025) reported that </w:t>
      </w:r>
      <w:r>
        <w:rPr>
          <w:rFonts w:ascii="Times New Roman" w:hAnsi="Times New Roman"/>
          <w:i/>
          <w:sz w:val="22"/>
        </w:rPr>
        <w:t>67</w:t>
      </w:r>
      <w:r>
        <w:rPr>
          <w:rFonts w:ascii="Times New Roman" w:hAnsi="Times New Roman"/>
          <w:sz w:val="22"/>
        </w:rPr>
        <w:t xml:space="preserve"> appeared in digital media roughly six times more frequently in October 2025 than across all of 2024, with searches up more than sixfold since June 2025 (Figure 2).</w:t>
      </w:r>
    </w:p>
    <w:p>
      <w:pPr>
        <w:spacing w:before="160" w:after="40" w:line="240" w:lineRule="auto"/>
        <w:jc w:val="center"/>
      </w:pPr>
      <w:r>
        <w:drawing>
          <wp:inline xmlns:a="http://schemas.openxmlformats.org/drawingml/2006/main" xmlns:pic="http://schemas.openxmlformats.org/drawingml/2006/picture">
            <wp:extent cx="5394960" cy="2312126"/>
            <wp:docPr id="2" name="Picture 2"/>
            <wp:cNvGraphicFramePr>
              <a:graphicFrameLocks noChangeAspect="1"/>
            </wp:cNvGraphicFramePr>
            <a:graphic>
              <a:graphicData uri="http://schemas.openxmlformats.org/drawingml/2006/picture">
                <pic:pic>
                  <pic:nvPicPr>
                    <pic:cNvPr id="0" name="fig2_timeline.png"/>
                    <pic:cNvPicPr/>
                  </pic:nvPicPr>
                  <pic:blipFill>
                    <a:blip r:embed="rId10"/>
                    <a:stretch>
                      <a:fillRect/>
                    </a:stretch>
                  </pic:blipFill>
                  <pic:spPr>
                    <a:xfrm>
                      <a:off x="0" y="0"/>
                      <a:ext cx="5394960" cy="2312126"/>
                    </a:xfrm>
                    <a:prstGeom prst="rect"/>
                  </pic:spPr>
                </pic:pic>
              </a:graphicData>
            </a:graphic>
          </wp:inline>
        </w:drawing>
      </w:r>
    </w:p>
    <w:p>
      <w:pPr>
        <w:spacing w:before="0" w:after="160" w:line="240" w:lineRule="auto"/>
        <w:jc w:val="center"/>
      </w:pPr>
      <w:r>
        <w:rPr>
          <w:rFonts w:ascii="Times New Roman" w:hAnsi="Times New Roman"/>
          <w:b/>
          <w:sz w:val="18"/>
        </w:rPr>
        <w:t>Figure 2. Timeline of the “6-7” meme, December 2024–November 2025.</w:t>
      </w:r>
    </w:p>
    <w:p>
      <w:pPr>
        <w:spacing w:before="160" w:after="40" w:line="240" w:lineRule="auto"/>
      </w:pPr>
      <w:r>
        <w:rPr>
          <w:rFonts w:ascii="Times New Roman" w:hAnsi="Times New Roman"/>
          <w:b/>
          <w:sz w:val="24"/>
        </w:rPr>
        <w:t>3.3 Reception</w:t>
      </w:r>
    </w:p>
    <w:p>
      <w:pPr>
        <w:spacing w:before="0" w:after="120" w:line="240" w:lineRule="auto"/>
        <w:jc w:val="both"/>
      </w:pPr>
      <w:r>
        <w:rPr>
          <w:rFonts w:ascii="Times New Roman" w:hAnsi="Times New Roman"/>
          <w:sz w:val="22"/>
        </w:rPr>
        <w:t xml:space="preserve">In use, </w:t>
      </w:r>
      <w:r>
        <w:rPr>
          <w:rFonts w:ascii="Times New Roman" w:hAnsi="Times New Roman"/>
          <w:i/>
          <w:sz w:val="22"/>
        </w:rPr>
        <w:t>6-7</w:t>
      </w:r>
      <w:r>
        <w:rPr>
          <w:rFonts w:ascii="Times New Roman" w:hAnsi="Times New Roman"/>
          <w:sz w:val="22"/>
        </w:rPr>
        <w:t xml:space="preserve"> functions as an interjection or non-sequitur—shouted on hearing either number, deployed as a punchline, or chanted communally—rather than as a contentful predicate. It is loosely glossed as “so-so” or “maybe this, maybe that,” mirrored by the see-sawing gesture, but the gloss is post-hoc and unstable (Dictionary.com, 2025). Reception data reinforce an in-group/out-group dynamic: teachers have banned the phrase and tallied its frequency (one Sioux Falls science teacher, Gabe Dannenbring, reported hearing it roughly 75 times in a single day), and on 24 November 2025 UK Prime Minister Keir Starmer was publicly corrected by a head teacher after leading schoolchildren in the gesture during a school visit (CNN, 2025; IBTimes UK, 2025). The comedy of these episodes turns on who is and is not “in on the joke”—a sociolinguistic fact, not a semantic one.</w:t>
      </w:r>
    </w:p>
    <w:p>
      <w:pPr>
        <w:spacing w:before="240" w:after="80" w:line="240" w:lineRule="auto"/>
      </w:pPr>
      <w:r>
        <w:rPr>
          <w:rFonts w:ascii="Times New Roman" w:hAnsi="Times New Roman"/>
          <w:b/>
          <w:sz w:val="26"/>
        </w:rPr>
        <w:t>4. The Phatic Frame: Communion, Contact, and Contentless Talk</w:t>
      </w:r>
    </w:p>
    <w:p>
      <w:pPr>
        <w:spacing w:before="160" w:after="40" w:line="240" w:lineRule="auto"/>
      </w:pPr>
      <w:r>
        <w:rPr>
          <w:rFonts w:ascii="Times New Roman" w:hAnsi="Times New Roman"/>
          <w:b/>
          <w:sz w:val="24"/>
        </w:rPr>
        <w:t>4.1 Malinowski’s phatic communion</w:t>
      </w:r>
    </w:p>
    <w:p>
      <w:pPr>
        <w:spacing w:before="0" w:after="120" w:line="240" w:lineRule="auto"/>
        <w:jc w:val="both"/>
      </w:pPr>
      <w:r>
        <w:rPr>
          <w:rFonts w:ascii="Times New Roman" w:hAnsi="Times New Roman"/>
          <w:sz w:val="22"/>
        </w:rPr>
        <w:t xml:space="preserve">The vocabulary for analysing contentless-but-functional language originates with the anthropologist Bronisław Malinowski, whose 1923 essay “The Problem of Meaning in Primitive Languages” appeared as a supplement to Ogden and Richards’s </w:t>
      </w:r>
      <w:r>
        <w:rPr>
          <w:rFonts w:ascii="Times New Roman" w:hAnsi="Times New Roman"/>
          <w:i/>
          <w:sz w:val="22"/>
        </w:rPr>
        <w:t>The Meaning of Meaning</w:t>
      </w:r>
      <w:r>
        <w:rPr>
          <w:rFonts w:ascii="Times New Roman" w:hAnsi="Times New Roman"/>
          <w:sz w:val="22"/>
        </w:rPr>
        <w:t xml:space="preserve">. There Malinowski coined the term—“actuated by the demon of terminological invention”—for “a type of speech in which ties of union are created by a mere exchange of words” (Malinowski, 1923). Phatic communion is the language of “free, aimless, social intercourse,” in which words “fulfil a social function, and that is their principal aim,” being “neither the result of intellectual reflection, nor do they necessarily arouse reflection in the listener.” Language is here “a mode of action, rather than as a countersign of thought”; it bonds rather than informs. This is, almost verbatim, what lexicographers now say about </w:t>
      </w:r>
      <w:r>
        <w:rPr>
          <w:rFonts w:ascii="Times New Roman" w:hAnsi="Times New Roman"/>
          <w:i/>
          <w:sz w:val="22"/>
        </w:rPr>
        <w:t>6-7</w:t>
      </w:r>
      <w:r>
        <w:rPr>
          <w:rFonts w:ascii="Times New Roman" w:hAnsi="Times New Roman"/>
          <w:sz w:val="22"/>
        </w:rPr>
        <w:t>.</w:t>
      </w:r>
    </w:p>
    <w:p>
      <w:pPr>
        <w:spacing w:before="160" w:after="40" w:line="240" w:lineRule="auto"/>
      </w:pPr>
      <w:r>
        <w:rPr>
          <w:rFonts w:ascii="Times New Roman" w:hAnsi="Times New Roman"/>
          <w:b/>
          <w:sz w:val="24"/>
        </w:rPr>
        <w:t>4.2 Jakobson’s phatic function</w:t>
      </w:r>
    </w:p>
    <w:p>
      <w:pPr>
        <w:spacing w:before="0" w:after="120" w:line="240" w:lineRule="auto"/>
        <w:jc w:val="both"/>
      </w:pPr>
      <w:r>
        <w:rPr>
          <w:rFonts w:ascii="Times New Roman" w:hAnsi="Times New Roman"/>
          <w:sz w:val="22"/>
        </w:rPr>
        <w:t xml:space="preserve">Roman Jakobson formalised the idea within his six-function model of communication (Jakobson, 1960). The phatic function corresponds to the </w:t>
      </w:r>
      <w:r>
        <w:rPr>
          <w:rFonts w:ascii="Times New Roman" w:hAnsi="Times New Roman"/>
          <w:i/>
          <w:sz w:val="22"/>
        </w:rPr>
        <w:t>contact</w:t>
      </w:r>
      <w:r>
        <w:rPr>
          <w:rFonts w:ascii="Times New Roman" w:hAnsi="Times New Roman"/>
          <w:sz w:val="22"/>
        </w:rPr>
        <w:t xml:space="preserve"> factor, comprising “messages primarily serving to establish, to prolong, or to discontinue communication, to check whether the channel works”—exemplified by “Hello, do you hear me?” and “Are you listening?” Jakobson credited Malinowski for the term and observed that the phatic function is “the first verbal function acquired by infants,” who communicate before they can exchange information. That developmental priority resonates with Fridland’s (2026) analysis of </w:t>
      </w:r>
      <w:r>
        <w:rPr>
          <w:rFonts w:ascii="Times New Roman" w:hAnsi="Times New Roman"/>
          <w:i/>
          <w:sz w:val="22"/>
        </w:rPr>
        <w:t>6-7</w:t>
      </w:r>
      <w:r>
        <w:rPr>
          <w:rFonts w:ascii="Times New Roman" w:hAnsi="Times New Roman"/>
          <w:sz w:val="22"/>
        </w:rPr>
        <w:t xml:space="preserve"> as the developmentally normal creation of socially meaningful language by adolescents—“not brain rot” but “linguistically normal.” The phatic function is not a degenerate use of language; it is foundational.</w:t>
      </w:r>
    </w:p>
    <w:p>
      <w:pPr>
        <w:spacing w:before="160" w:after="40" w:line="240" w:lineRule="auto"/>
      </w:pPr>
      <w:r>
        <w:rPr>
          <w:rFonts w:ascii="Times New Roman" w:hAnsi="Times New Roman"/>
          <w:b/>
          <w:sz w:val="24"/>
        </w:rPr>
        <w:t>4.3 Phatic culture online</w:t>
      </w:r>
    </w:p>
    <w:p>
      <w:pPr>
        <w:spacing w:before="0" w:after="120" w:line="240" w:lineRule="auto"/>
        <w:jc w:val="both"/>
      </w:pPr>
      <w:r>
        <w:rPr>
          <w:rFonts w:ascii="Times New Roman" w:hAnsi="Times New Roman"/>
          <w:sz w:val="22"/>
        </w:rPr>
        <w:t>The frame extends to digital communication. Miller (2008) argues that network sociality has produced an online culture “dominated by non-dialogic, non-informational” exchange, in which “the connection, not the content, is what matters.” Practices such as Snapchat “streaks”—daily exchanges whose entire point is maintaining a connection counter—are paradigmatically phatic (see Miller, 2008, and subsequent phatic-media research). A meme that spreads as a shouted gesture, propagating connection rather than proposition, is the lexical-item-scale instance of exactly this phenomenon.</w:t>
      </w:r>
    </w:p>
    <w:p>
      <w:pPr>
        <w:spacing w:before="240" w:after="80" w:line="240" w:lineRule="auto"/>
      </w:pPr>
      <w:r>
        <w:rPr>
          <w:rFonts w:ascii="Times New Roman" w:hAnsi="Times New Roman"/>
          <w:b/>
          <w:sz w:val="26"/>
        </w:rPr>
        <w:t>5. Meaning-Based Lexical Theory and Its Commitments</w:t>
      </w:r>
    </w:p>
    <w:p>
      <w:pPr>
        <w:spacing w:before="160" w:after="40" w:line="240" w:lineRule="auto"/>
      </w:pPr>
      <w:r>
        <w:rPr>
          <w:rFonts w:ascii="Times New Roman" w:hAnsi="Times New Roman"/>
          <w:b/>
          <w:sz w:val="24"/>
        </w:rPr>
        <w:t>5.1 Referential and truth-conditional semantics</w:t>
      </w:r>
    </w:p>
    <w:p>
      <w:pPr>
        <w:spacing w:before="0" w:after="120" w:line="240" w:lineRule="auto"/>
        <w:jc w:val="both"/>
      </w:pPr>
      <w:r>
        <w:rPr>
          <w:rFonts w:ascii="Times New Roman" w:hAnsi="Times New Roman"/>
          <w:sz w:val="22"/>
        </w:rPr>
        <w:t>The dominant strand of formal semantics ties meaning to the world. Frege’s (1892/1948) distinction between sense (</w:t>
      </w:r>
      <w:r>
        <w:rPr>
          <w:rFonts w:ascii="Times New Roman" w:hAnsi="Times New Roman"/>
          <w:i/>
          <w:sz w:val="22"/>
        </w:rPr>
        <w:t>Sinn</w:t>
      </w:r>
      <w:r>
        <w:rPr>
          <w:rFonts w:ascii="Times New Roman" w:hAnsi="Times New Roman"/>
          <w:sz w:val="22"/>
        </w:rPr>
        <w:t>) and reference (</w:t>
      </w:r>
      <w:r>
        <w:rPr>
          <w:rFonts w:ascii="Times New Roman" w:hAnsi="Times New Roman"/>
          <w:i/>
          <w:sz w:val="22"/>
        </w:rPr>
        <w:t>Bedeutung</w:t>
      </w:r>
      <w:r>
        <w:rPr>
          <w:rFonts w:ascii="Times New Roman" w:hAnsi="Times New Roman"/>
          <w:sz w:val="22"/>
        </w:rPr>
        <w:t xml:space="preserve">) keeps reference central: “the morning star” and “the evening star” differ in sense yet share a referent, Venus. Truth-conditional semantics, developed by Davidson (1967) on Tarski’s theory of truth, holds that to give the meaning of a sentence is to give its truth conditions, so that a word’s meaning is its contribution to those conditions. The difficulty is immediate: </w:t>
      </w:r>
      <w:r>
        <w:rPr>
          <w:rFonts w:ascii="Times New Roman" w:hAnsi="Times New Roman"/>
          <w:i/>
          <w:sz w:val="22"/>
        </w:rPr>
        <w:t>6-7</w:t>
      </w:r>
      <w:r>
        <w:rPr>
          <w:rFonts w:ascii="Times New Roman" w:hAnsi="Times New Roman"/>
          <w:sz w:val="22"/>
        </w:rPr>
        <w:t xml:space="preserve"> has no plausible truth-conditional contribution. It is not a predicate, names nothing, and a sentence is no more or less true for containing it—by the lights of strict truth-conditional semantics, not so much false as not truth-apt.</w:t>
      </w:r>
    </w:p>
    <w:p>
      <w:pPr>
        <w:spacing w:before="160" w:after="40" w:line="240" w:lineRule="auto"/>
      </w:pPr>
      <w:r>
        <w:rPr>
          <w:rFonts w:ascii="Times New Roman" w:hAnsi="Times New Roman"/>
          <w:b/>
          <w:sz w:val="24"/>
        </w:rPr>
        <w:t>5.2 Lexical semantics</w:t>
      </w:r>
    </w:p>
    <w:p>
      <w:pPr>
        <w:spacing w:before="0" w:after="120" w:line="240" w:lineRule="auto"/>
        <w:jc w:val="both"/>
      </w:pPr>
      <w:r>
        <w:rPr>
          <w:rFonts w:ascii="Times New Roman" w:hAnsi="Times New Roman"/>
          <w:sz w:val="22"/>
        </w:rPr>
        <w:t xml:space="preserve">Lexical semantics studies word meaning and the sense relations—synonymy, hyponymy, antonymy, polysemy—that structure the lexicon (Jurafsky &amp; Martin, 2023). Identifying lexical meaning purely with reference makes it hard to account for synonymy and analytic entailment, and the field accordingly distinguishes an inferential aspect of lexical competence (relations among senses) from a referential aspect (naming and application) (Stanford Encyclopedia of Philosophy, n.d.). </w:t>
      </w:r>
      <w:r>
        <w:rPr>
          <w:rFonts w:ascii="Times New Roman" w:hAnsi="Times New Roman"/>
          <w:i/>
          <w:sz w:val="22"/>
        </w:rPr>
        <w:t>6-7</w:t>
      </w:r>
      <w:r>
        <w:rPr>
          <w:rFonts w:ascii="Times New Roman" w:hAnsi="Times New Roman"/>
          <w:sz w:val="22"/>
        </w:rPr>
        <w:t xml:space="preserve"> enters into neither set of relations robustly: it has no synonyms, no hypernym, no entailments. There is no </w:t>
      </w:r>
      <w:r>
        <w:rPr>
          <w:rFonts w:ascii="Times New Roman" w:hAnsi="Times New Roman"/>
          <w:i/>
          <w:sz w:val="22"/>
        </w:rPr>
        <w:t>sense</w:t>
      </w:r>
      <w:r>
        <w:rPr>
          <w:rFonts w:ascii="Times New Roman" w:hAnsi="Times New Roman"/>
          <w:sz w:val="22"/>
        </w:rPr>
        <w:t xml:space="preserve"> for the inferential machinery to operate on—which is why a dictionary can simultaneously crown it and confess it cannot define it.</w:t>
      </w:r>
    </w:p>
    <w:p>
      <w:pPr>
        <w:spacing w:before="160" w:after="40" w:line="240" w:lineRule="auto"/>
      </w:pPr>
      <w:r>
        <w:rPr>
          <w:rFonts w:ascii="Times New Roman" w:hAnsi="Times New Roman"/>
          <w:b/>
          <w:sz w:val="24"/>
        </w:rPr>
        <w:t>5.3 Use-based alternatives</w:t>
      </w:r>
    </w:p>
    <w:p>
      <w:pPr>
        <w:spacing w:before="0" w:after="120" w:line="240" w:lineRule="auto"/>
        <w:jc w:val="both"/>
      </w:pPr>
      <w:r>
        <w:rPr>
          <w:rFonts w:ascii="Times New Roman" w:hAnsi="Times New Roman"/>
          <w:sz w:val="22"/>
        </w:rPr>
        <w:t xml:space="preserve">The principal rival tradition makes </w:t>
      </w:r>
      <w:r>
        <w:rPr>
          <w:rFonts w:ascii="Times New Roman" w:hAnsi="Times New Roman"/>
          <w:i/>
          <w:sz w:val="22"/>
        </w:rPr>
        <w:t>use</w:t>
      </w:r>
      <w:r>
        <w:rPr>
          <w:rFonts w:ascii="Times New Roman" w:hAnsi="Times New Roman"/>
          <w:sz w:val="22"/>
        </w:rPr>
        <w:t xml:space="preserve">, not reference, primary. Wittgenstein’s (1953) </w:t>
      </w:r>
      <w:r>
        <w:rPr>
          <w:rFonts w:ascii="Times New Roman" w:hAnsi="Times New Roman"/>
          <w:i/>
          <w:sz w:val="22"/>
        </w:rPr>
        <w:t>Philosophical Investigations</w:t>
      </w:r>
      <w:r>
        <w:rPr>
          <w:rFonts w:ascii="Times New Roman" w:hAnsi="Times New Roman"/>
          <w:sz w:val="22"/>
        </w:rPr>
        <w:t xml:space="preserve"> furnishes the slogan: “the meaning of a word is its use in the language” (§43, Anscombe translation). Meaning resides in language-games and is organised by family resemblance rather than shared essence; notably, Wittgenstein hedged—“not for all” cases—and </w:t>
      </w:r>
      <w:r>
        <w:rPr>
          <w:rFonts w:ascii="Times New Roman" w:hAnsi="Times New Roman"/>
          <w:i/>
          <w:sz w:val="22"/>
        </w:rPr>
        <w:t>6-7</w:t>
      </w:r>
      <w:r>
        <w:rPr>
          <w:rFonts w:ascii="Times New Roman" w:hAnsi="Times New Roman"/>
          <w:sz w:val="22"/>
        </w:rPr>
        <w:t xml:space="preserve"> falls squarely in the use-governed, non-ostensive class he had in mind. Three further frameworks bear on slang: Firth’s (1957) distributional dictum (“you shall know a word by the company it keeps”); usage-based linguistics, which models grammar as a network of constructions learned from use; and construction grammar (Goldberg, 1995), which treats lexical and syntactic units alike as form–meaning pairings. Each permits “meaning” to be a conventionalised pairing of a form with a </w:t>
      </w:r>
      <w:r>
        <w:rPr>
          <w:rFonts w:ascii="Times New Roman" w:hAnsi="Times New Roman"/>
          <w:i/>
          <w:sz w:val="22"/>
        </w:rPr>
        <w:t>function</w:t>
      </w:r>
      <w:r>
        <w:rPr>
          <w:rFonts w:ascii="Times New Roman" w:hAnsi="Times New Roman"/>
          <w:sz w:val="22"/>
        </w:rPr>
        <w:t>—including a purely social function—rather than with a referent (Table 2).</w:t>
      </w:r>
    </w:p>
    <w:p>
      <w:pPr>
        <w:spacing w:before="160" w:after="40" w:line="240" w:lineRule="auto"/>
      </w:pPr>
      <w:r>
        <w:rPr>
          <w:rFonts w:ascii="Times New Roman" w:hAnsi="Times New Roman"/>
          <w:b/>
          <w:sz w:val="24"/>
        </w:rPr>
        <w:t>5.4 Non-referential items as a standing problem</w:t>
      </w:r>
    </w:p>
    <w:p>
      <w:pPr>
        <w:spacing w:before="0" w:after="120" w:line="240" w:lineRule="auto"/>
        <w:jc w:val="both"/>
      </w:pPr>
      <w:r>
        <w:rPr>
          <w:rFonts w:ascii="Times New Roman" w:hAnsi="Times New Roman"/>
          <w:i/>
          <w:sz w:val="22"/>
        </w:rPr>
        <w:t>6-7</w:t>
      </w:r>
      <w:r>
        <w:rPr>
          <w:rFonts w:ascii="Times New Roman" w:hAnsi="Times New Roman"/>
          <w:sz w:val="22"/>
        </w:rPr>
        <w:t xml:space="preserve"> is not </w:t>
      </w:r>
      <w:r>
        <w:rPr>
          <w:rFonts w:ascii="Times New Roman" w:hAnsi="Times New Roman"/>
          <w:i/>
          <w:sz w:val="22"/>
        </w:rPr>
        <w:t>sui generis</w:t>
      </w:r>
      <w:r>
        <w:rPr>
          <w:rFonts w:ascii="Times New Roman" w:hAnsi="Times New Roman"/>
          <w:sz w:val="22"/>
        </w:rPr>
        <w:t xml:space="preserve">; it joins a class formal semantics has long handled at its margins. Discourse markers are traditionally analysed as non-truth-conditional—removing “so” or “you know” does not change a sentence’s truth value—and Relevance Theory treats such connectives as encoding procedural rather than conceptual meaning (Blakemore, 2002). Interjections are likewise characterised as content that is not truth-conditional in any way. The existence of this margin is the wedge: meaning-based theory has always needed a supplementary account for items whose meaning is not denotational. </w:t>
      </w:r>
      <w:r>
        <w:rPr>
          <w:rFonts w:ascii="Times New Roman" w:hAnsi="Times New Roman"/>
          <w:i/>
          <w:sz w:val="22"/>
        </w:rPr>
        <w:t>6-7</w:t>
      </w:r>
      <w:r>
        <w:rPr>
          <w:rFonts w:ascii="Times New Roman" w:hAnsi="Times New Roman"/>
          <w:sz w:val="22"/>
        </w:rPr>
        <w:t xml:space="preserve"> simply pushes that supplement to the centre.</w:t>
      </w:r>
    </w:p>
    <w:p>
      <w:pPr>
        <w:spacing w:before="160" w:after="40" w:line="240" w:lineRule="auto"/>
      </w:pPr>
      <w:r>
        <w:rPr>
          <w:rFonts w:ascii="Times New Roman" w:hAnsi="Times New Roman"/>
          <w:b/>
          <w:sz w:val="20"/>
        </w:rPr>
        <w:t>Table 2. Theories of lexical meaning and their fit for a phatic-only item.</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04"/>
          </w:tcPr>
          <w:p>
            <w:pPr>
              <w:spacing w:after="40"/>
            </w:pPr>
            <w:r>
              <w:rPr>
                <w:rFonts w:ascii="Times New Roman" w:hAnsi="Times New Roman"/>
                <w:b/>
                <w:sz w:val="19"/>
              </w:rPr>
              <w:t>Tradition</w:t>
            </w:r>
          </w:p>
        </w:tc>
        <w:tc>
          <w:tcPr>
            <w:tcW w:type="dxa" w:w="1872"/>
          </w:tcPr>
          <w:p>
            <w:pPr>
              <w:spacing w:after="40"/>
            </w:pPr>
            <w:r>
              <w:rPr>
                <w:rFonts w:ascii="Times New Roman" w:hAnsi="Times New Roman"/>
                <w:b/>
                <w:sz w:val="19"/>
              </w:rPr>
              <w:t>Key figures</w:t>
            </w:r>
          </w:p>
        </w:tc>
        <w:tc>
          <w:tcPr>
            <w:tcW w:type="dxa" w:w="2448"/>
          </w:tcPr>
          <w:p>
            <w:pPr>
              <w:spacing w:after="40"/>
            </w:pPr>
            <w:r>
              <w:rPr>
                <w:rFonts w:ascii="Times New Roman" w:hAnsi="Times New Roman"/>
                <w:b/>
                <w:sz w:val="19"/>
              </w:rPr>
              <w:t>Locus of meaning</w:t>
            </w:r>
          </w:p>
        </w:tc>
        <w:tc>
          <w:tcPr>
            <w:tcW w:type="dxa" w:w="2304"/>
          </w:tcPr>
          <w:p>
            <w:pPr>
              <w:spacing w:after="40"/>
            </w:pPr>
            <w:r>
              <w:rPr>
                <w:rFonts w:ascii="Times New Roman" w:hAnsi="Times New Roman"/>
                <w:b/>
                <w:sz w:val="19"/>
              </w:rPr>
              <w:t>Account of “6-7”</w:t>
            </w:r>
          </w:p>
        </w:tc>
      </w:tr>
      <w:tr>
        <w:tc>
          <w:tcPr>
            <w:tcW w:type="dxa" w:w="2304"/>
          </w:tcPr>
          <w:p>
            <w:pPr>
              <w:spacing w:after="40"/>
            </w:pPr>
            <w:r>
              <w:rPr>
                <w:rFonts w:ascii="Times New Roman" w:hAnsi="Times New Roman"/>
                <w:sz w:val="19"/>
              </w:rPr>
              <w:t>Referential / truth-conditional</w:t>
            </w:r>
          </w:p>
        </w:tc>
        <w:tc>
          <w:tcPr>
            <w:tcW w:type="dxa" w:w="1872"/>
          </w:tcPr>
          <w:p>
            <w:pPr>
              <w:spacing w:after="40"/>
            </w:pPr>
            <w:r>
              <w:rPr>
                <w:rFonts w:ascii="Times New Roman" w:hAnsi="Times New Roman"/>
                <w:sz w:val="19"/>
              </w:rPr>
              <w:t>Frege; Davidson</w:t>
            </w:r>
          </w:p>
        </w:tc>
        <w:tc>
          <w:tcPr>
            <w:tcW w:type="dxa" w:w="2448"/>
          </w:tcPr>
          <w:p>
            <w:pPr>
              <w:spacing w:after="40"/>
            </w:pPr>
            <w:r>
              <w:rPr>
                <w:rFonts w:ascii="Times New Roman" w:hAnsi="Times New Roman"/>
                <w:sz w:val="19"/>
              </w:rPr>
              <w:t>Reference; contribution to truth conditions</w:t>
            </w:r>
          </w:p>
        </w:tc>
        <w:tc>
          <w:tcPr>
            <w:tcW w:type="dxa" w:w="2304"/>
          </w:tcPr>
          <w:p>
            <w:pPr>
              <w:spacing w:after="40"/>
            </w:pPr>
            <w:r>
              <w:rPr>
                <w:rFonts w:ascii="Times New Roman" w:hAnsi="Times New Roman"/>
                <w:sz w:val="19"/>
              </w:rPr>
              <w:t>No content; not truth-apt</w:t>
            </w:r>
          </w:p>
        </w:tc>
      </w:tr>
      <w:tr>
        <w:tc>
          <w:tcPr>
            <w:tcW w:type="dxa" w:w="2304"/>
          </w:tcPr>
          <w:p>
            <w:pPr>
              <w:spacing w:after="40"/>
            </w:pPr>
            <w:r>
              <w:rPr>
                <w:rFonts w:ascii="Times New Roman" w:hAnsi="Times New Roman"/>
                <w:sz w:val="19"/>
              </w:rPr>
              <w:t>Lexical semantics</w:t>
            </w:r>
          </w:p>
        </w:tc>
        <w:tc>
          <w:tcPr>
            <w:tcW w:type="dxa" w:w="1872"/>
          </w:tcPr>
          <w:p>
            <w:pPr>
              <w:spacing w:after="40"/>
            </w:pPr>
            <w:r>
              <w:rPr>
                <w:rFonts w:ascii="Times New Roman" w:hAnsi="Times New Roman"/>
                <w:sz w:val="19"/>
              </w:rPr>
              <w:t>Cruse; Jurafsky &amp; Martin</w:t>
            </w:r>
          </w:p>
        </w:tc>
        <w:tc>
          <w:tcPr>
            <w:tcW w:type="dxa" w:w="2448"/>
          </w:tcPr>
          <w:p>
            <w:pPr>
              <w:spacing w:after="40"/>
            </w:pPr>
            <w:r>
              <w:rPr>
                <w:rFonts w:ascii="Times New Roman" w:hAnsi="Times New Roman"/>
                <w:sz w:val="19"/>
              </w:rPr>
              <w:t>Sense and sense-relations</w:t>
            </w:r>
          </w:p>
        </w:tc>
        <w:tc>
          <w:tcPr>
            <w:tcW w:type="dxa" w:w="2304"/>
          </w:tcPr>
          <w:p>
            <w:pPr>
              <w:spacing w:after="40"/>
            </w:pPr>
            <w:r>
              <w:rPr>
                <w:rFonts w:ascii="Times New Roman" w:hAnsi="Times New Roman"/>
                <w:sz w:val="19"/>
              </w:rPr>
              <w:t>No sense; enters no relations</w:t>
            </w:r>
          </w:p>
        </w:tc>
      </w:tr>
      <w:tr>
        <w:tc>
          <w:tcPr>
            <w:tcW w:type="dxa" w:w="2304"/>
          </w:tcPr>
          <w:p>
            <w:pPr>
              <w:spacing w:after="40"/>
            </w:pPr>
            <w:r>
              <w:rPr>
                <w:rFonts w:ascii="Times New Roman" w:hAnsi="Times New Roman"/>
                <w:sz w:val="19"/>
              </w:rPr>
              <w:t>Use theory</w:t>
            </w:r>
          </w:p>
        </w:tc>
        <w:tc>
          <w:tcPr>
            <w:tcW w:type="dxa" w:w="1872"/>
          </w:tcPr>
          <w:p>
            <w:pPr>
              <w:spacing w:after="40"/>
            </w:pPr>
            <w:r>
              <w:rPr>
                <w:rFonts w:ascii="Times New Roman" w:hAnsi="Times New Roman"/>
                <w:sz w:val="19"/>
              </w:rPr>
              <w:t>Wittgenstein</w:t>
            </w:r>
          </w:p>
        </w:tc>
        <w:tc>
          <w:tcPr>
            <w:tcW w:type="dxa" w:w="2448"/>
          </w:tcPr>
          <w:p>
            <w:pPr>
              <w:spacing w:after="40"/>
            </w:pPr>
            <w:r>
              <w:rPr>
                <w:rFonts w:ascii="Times New Roman" w:hAnsi="Times New Roman"/>
                <w:sz w:val="19"/>
              </w:rPr>
              <w:t>Use within language-games</w:t>
            </w:r>
          </w:p>
        </w:tc>
        <w:tc>
          <w:tcPr>
            <w:tcW w:type="dxa" w:w="2304"/>
          </w:tcPr>
          <w:p>
            <w:pPr>
              <w:spacing w:after="40"/>
            </w:pPr>
            <w:r>
              <w:rPr>
                <w:rFonts w:ascii="Times New Roman" w:hAnsi="Times New Roman"/>
                <w:sz w:val="19"/>
              </w:rPr>
              <w:t xml:space="preserve">Meaning </w:t>
            </w:r>
            <w:r>
              <w:rPr>
                <w:rFonts w:ascii="Times New Roman" w:hAnsi="Times New Roman"/>
                <w:i/>
                <w:sz w:val="19"/>
              </w:rPr>
              <w:t>is</w:t>
            </w:r>
            <w:r>
              <w:rPr>
                <w:rFonts w:ascii="Times New Roman" w:hAnsi="Times New Roman"/>
                <w:sz w:val="19"/>
              </w:rPr>
              <w:t xml:space="preserve"> its use</w:t>
            </w:r>
          </w:p>
        </w:tc>
      </w:tr>
      <w:tr>
        <w:tc>
          <w:tcPr>
            <w:tcW w:type="dxa" w:w="2304"/>
          </w:tcPr>
          <w:p>
            <w:pPr>
              <w:spacing w:after="40"/>
            </w:pPr>
            <w:r>
              <w:rPr>
                <w:rFonts w:ascii="Times New Roman" w:hAnsi="Times New Roman"/>
                <w:sz w:val="19"/>
              </w:rPr>
              <w:t>Usage-based / construction grammar</w:t>
            </w:r>
          </w:p>
        </w:tc>
        <w:tc>
          <w:tcPr>
            <w:tcW w:type="dxa" w:w="1872"/>
          </w:tcPr>
          <w:p>
            <w:pPr>
              <w:spacing w:after="40"/>
            </w:pPr>
            <w:r>
              <w:rPr>
                <w:rFonts w:ascii="Times New Roman" w:hAnsi="Times New Roman"/>
                <w:sz w:val="19"/>
              </w:rPr>
              <w:t>Firth; Bybee; Goldberg</w:t>
            </w:r>
          </w:p>
        </w:tc>
        <w:tc>
          <w:tcPr>
            <w:tcW w:type="dxa" w:w="2448"/>
          </w:tcPr>
          <w:p>
            <w:pPr>
              <w:spacing w:after="40"/>
            </w:pPr>
            <w:r>
              <w:rPr>
                <w:rFonts w:ascii="Times New Roman" w:hAnsi="Times New Roman"/>
                <w:sz w:val="19"/>
              </w:rPr>
              <w:t>Conventionalised form–function pairing</w:t>
            </w:r>
          </w:p>
        </w:tc>
        <w:tc>
          <w:tcPr>
            <w:tcW w:type="dxa" w:w="2304"/>
          </w:tcPr>
          <w:p>
            <w:pPr>
              <w:spacing w:after="40"/>
            </w:pPr>
            <w:r>
              <w:rPr>
                <w:rFonts w:ascii="Times New Roman" w:hAnsi="Times New Roman"/>
                <w:sz w:val="19"/>
              </w:rPr>
              <w:t>Form paired with a social function</w:t>
            </w:r>
          </w:p>
        </w:tc>
      </w:tr>
      <w:tr>
        <w:tc>
          <w:tcPr>
            <w:tcW w:type="dxa" w:w="2304"/>
          </w:tcPr>
          <w:p>
            <w:pPr>
              <w:spacing w:after="40"/>
            </w:pPr>
            <w:r>
              <w:rPr>
                <w:rFonts w:ascii="Times New Roman" w:hAnsi="Times New Roman"/>
                <w:sz w:val="19"/>
              </w:rPr>
              <w:t>Expressive / use-conditional</w:t>
            </w:r>
          </w:p>
        </w:tc>
        <w:tc>
          <w:tcPr>
            <w:tcW w:type="dxa" w:w="1872"/>
          </w:tcPr>
          <w:p>
            <w:pPr>
              <w:spacing w:after="40"/>
            </w:pPr>
            <w:r>
              <w:rPr>
                <w:rFonts w:ascii="Times New Roman" w:hAnsi="Times New Roman"/>
                <w:sz w:val="19"/>
              </w:rPr>
              <w:t>Kaplan; Potts; Gutzmann</w:t>
            </w:r>
          </w:p>
        </w:tc>
        <w:tc>
          <w:tcPr>
            <w:tcW w:type="dxa" w:w="2448"/>
          </w:tcPr>
          <w:p>
            <w:pPr>
              <w:spacing w:after="40"/>
            </w:pPr>
            <w:r>
              <w:rPr>
                <w:rFonts w:ascii="Times New Roman" w:hAnsi="Times New Roman"/>
                <w:sz w:val="19"/>
              </w:rPr>
              <w:t>Speaker attitude / affect</w:t>
            </w:r>
          </w:p>
        </w:tc>
        <w:tc>
          <w:tcPr>
            <w:tcW w:type="dxa" w:w="2304"/>
          </w:tcPr>
          <w:p>
            <w:pPr>
              <w:spacing w:after="40"/>
            </w:pPr>
            <w:r>
              <w:rPr>
                <w:rFonts w:ascii="Times New Roman" w:hAnsi="Times New Roman"/>
                <w:sz w:val="19"/>
              </w:rPr>
              <w:t>Expressive interjection</w:t>
            </w:r>
          </w:p>
        </w:tc>
      </w:tr>
      <w:tr>
        <w:tc>
          <w:tcPr>
            <w:tcW w:type="dxa" w:w="2304"/>
          </w:tcPr>
          <w:p>
            <w:pPr>
              <w:spacing w:after="40"/>
            </w:pPr>
            <w:r>
              <w:rPr>
                <w:rFonts w:ascii="Times New Roman" w:hAnsi="Times New Roman"/>
                <w:sz w:val="19"/>
              </w:rPr>
              <w:t>Indexical / third-wave</w:t>
            </w:r>
          </w:p>
        </w:tc>
        <w:tc>
          <w:tcPr>
            <w:tcW w:type="dxa" w:w="1872"/>
          </w:tcPr>
          <w:p>
            <w:pPr>
              <w:spacing w:after="40"/>
            </w:pPr>
            <w:r>
              <w:rPr>
                <w:rFonts w:ascii="Times New Roman" w:hAnsi="Times New Roman"/>
                <w:sz w:val="19"/>
              </w:rPr>
              <w:t>Silverstein; Eckert</w:t>
            </w:r>
          </w:p>
        </w:tc>
        <w:tc>
          <w:tcPr>
            <w:tcW w:type="dxa" w:w="2448"/>
          </w:tcPr>
          <w:p>
            <w:pPr>
              <w:spacing w:after="40"/>
            </w:pPr>
            <w:r>
              <w:rPr>
                <w:rFonts w:ascii="Times New Roman" w:hAnsi="Times New Roman"/>
                <w:sz w:val="19"/>
              </w:rPr>
              <w:t>Social indexing of identity/stance</w:t>
            </w:r>
          </w:p>
        </w:tc>
        <w:tc>
          <w:tcPr>
            <w:tcW w:type="dxa" w:w="2304"/>
          </w:tcPr>
          <w:p>
            <w:pPr>
              <w:spacing w:after="40"/>
            </w:pPr>
            <w:r>
              <w:rPr>
                <w:rFonts w:ascii="Times New Roman" w:hAnsi="Times New Roman"/>
                <w:sz w:val="19"/>
              </w:rPr>
              <w:t>Indexes in-group membership</w:t>
            </w:r>
          </w:p>
        </w:tc>
      </w:tr>
    </w:tbl>
    <w:p>
      <w:pPr>
        <w:spacing w:before="0" w:after="120" w:line="240" w:lineRule="auto"/>
      </w:pPr>
    </w:p>
    <w:p>
      <w:pPr>
        <w:spacing w:before="160" w:after="40" w:line="240" w:lineRule="auto"/>
        <w:jc w:val="center"/>
      </w:pPr>
      <w:r>
        <w:drawing>
          <wp:inline xmlns:a="http://schemas.openxmlformats.org/drawingml/2006/main" xmlns:pic="http://schemas.openxmlformats.org/drawingml/2006/picture">
            <wp:extent cx="5394960" cy="1998304"/>
            <wp:docPr id="3" name="Picture 3"/>
            <wp:cNvGraphicFramePr>
              <a:graphicFrameLocks noChangeAspect="1"/>
            </wp:cNvGraphicFramePr>
            <a:graphic>
              <a:graphicData uri="http://schemas.openxmlformats.org/drawingml/2006/picture">
                <pic:pic>
                  <pic:nvPicPr>
                    <pic:cNvPr id="0" name="fig3_cline.png"/>
                    <pic:cNvPicPr/>
                  </pic:nvPicPr>
                  <pic:blipFill>
                    <a:blip r:embed="rId11"/>
                    <a:stretch>
                      <a:fillRect/>
                    </a:stretch>
                  </pic:blipFill>
                  <pic:spPr>
                    <a:xfrm>
                      <a:off x="0" y="0"/>
                      <a:ext cx="5394960" cy="1998304"/>
                    </a:xfrm>
                    <a:prstGeom prst="rect"/>
                  </pic:spPr>
                </pic:pic>
              </a:graphicData>
            </a:graphic>
          </wp:inline>
        </w:drawing>
      </w:r>
    </w:p>
    <w:p>
      <w:pPr>
        <w:spacing w:before="0" w:after="160" w:line="240" w:lineRule="auto"/>
        <w:jc w:val="center"/>
      </w:pPr>
      <w:r>
        <w:rPr>
          <w:rFonts w:ascii="Times New Roman" w:hAnsi="Times New Roman"/>
          <w:b/>
          <w:sz w:val="18"/>
        </w:rPr>
        <w:t>Figure 3. A cline of lexical meaning from referential to phatic, locating “6-7.”</w:t>
      </w:r>
    </w:p>
    <w:p>
      <w:pPr>
        <w:spacing w:before="240" w:after="80" w:line="240" w:lineRule="auto"/>
      </w:pPr>
      <w:r>
        <w:rPr>
          <w:rFonts w:ascii="Times New Roman" w:hAnsi="Times New Roman"/>
          <w:b/>
          <w:sz w:val="26"/>
        </w:rPr>
        <w:t>6. Phatic-Only Slang Against Meaning-Based Theory</w:t>
      </w:r>
    </w:p>
    <w:p>
      <w:pPr>
        <w:spacing w:before="160" w:after="40" w:line="240" w:lineRule="auto"/>
      </w:pPr>
      <w:r>
        <w:rPr>
          <w:rFonts w:ascii="Times New Roman" w:hAnsi="Times New Roman"/>
          <w:b/>
          <w:sz w:val="24"/>
        </w:rPr>
        <w:t>6.1 The convergent expert verdict</w:t>
      </w:r>
    </w:p>
    <w:p>
      <w:pPr>
        <w:spacing w:before="0" w:after="120" w:line="240" w:lineRule="auto"/>
        <w:jc w:val="both"/>
      </w:pPr>
      <w:r>
        <w:rPr>
          <w:rFonts w:ascii="Times New Roman" w:hAnsi="Times New Roman"/>
          <w:sz w:val="22"/>
        </w:rPr>
        <w:t xml:space="preserve">Independent commentators have reached the same conclusion using overlapping vocabulary (Table 1). The agreement is notable: every analyst relocates the term’s value from </w:t>
      </w:r>
      <w:r>
        <w:rPr>
          <w:rFonts w:ascii="Times New Roman" w:hAnsi="Times New Roman"/>
          <w:i/>
          <w:sz w:val="22"/>
        </w:rPr>
        <w:t>denotation</w:t>
      </w:r>
      <w:r>
        <w:rPr>
          <w:rFonts w:ascii="Times New Roman" w:hAnsi="Times New Roman"/>
          <w:sz w:val="22"/>
        </w:rPr>
        <w:t xml:space="preserve"> to </w:t>
      </w:r>
      <w:r>
        <w:rPr>
          <w:rFonts w:ascii="Times New Roman" w:hAnsi="Times New Roman"/>
          <w:i/>
          <w:sz w:val="22"/>
        </w:rPr>
        <w:t>social contact, identity, and affect</w:t>
      </w:r>
      <w:r>
        <w:rPr>
          <w:rFonts w:ascii="Times New Roman" w:hAnsi="Times New Roman"/>
          <w:sz w:val="22"/>
        </w:rPr>
        <w:t>—that is, to the phatic and expressive dimensions.</w:t>
      </w:r>
    </w:p>
    <w:p>
      <w:pPr>
        <w:spacing w:before="160" w:after="40" w:line="240" w:lineRule="auto"/>
      </w:pPr>
      <w:r>
        <w:rPr>
          <w:rFonts w:ascii="Times New Roman" w:hAnsi="Times New Roman"/>
          <w:b/>
          <w:sz w:val="20"/>
        </w:rPr>
        <w:t>Table 1. Convergent expert characterizations of “6-7.”</w:t>
      </w:r>
    </w:p>
    <w:tbl>
      <w:tblPr>
        <w:tblStyle w:val="TableGrid"/>
        <w:tblW w:type="auto" w:w="0"/>
        <w:jc w:val="center"/>
        <w:tblLook w:firstColumn="1" w:firstRow="1" w:lastColumn="0" w:lastRow="0" w:noHBand="0" w:noVBand="1" w:val="04A0"/>
      </w:tblPr>
      <w:tblGrid>
        <w:gridCol w:w="3120"/>
        <w:gridCol w:w="3120"/>
        <w:gridCol w:w="3120"/>
      </w:tblGrid>
      <w:tr>
        <w:tc>
          <w:tcPr>
            <w:tcW w:type="dxa" w:w="2736"/>
          </w:tcPr>
          <w:p>
            <w:pPr>
              <w:spacing w:after="40"/>
            </w:pPr>
            <w:r>
              <w:rPr>
                <w:rFonts w:ascii="Times New Roman" w:hAnsi="Times New Roman"/>
                <w:b/>
                <w:sz w:val="19"/>
              </w:rPr>
              <w:t>Commentator (affiliation)</w:t>
            </w:r>
          </w:p>
        </w:tc>
        <w:tc>
          <w:tcPr>
            <w:tcW w:type="dxa" w:w="4320"/>
          </w:tcPr>
          <w:p>
            <w:pPr>
              <w:spacing w:after="40"/>
            </w:pPr>
            <w:r>
              <w:rPr>
                <w:rFonts w:ascii="Times New Roman" w:hAnsi="Times New Roman"/>
                <w:b/>
                <w:sz w:val="19"/>
              </w:rPr>
              <w:t>Characterization of the term</w:t>
            </w:r>
          </w:p>
        </w:tc>
        <w:tc>
          <w:tcPr>
            <w:tcW w:type="dxa" w:w="1440"/>
          </w:tcPr>
          <w:p>
            <w:pPr>
              <w:spacing w:after="40"/>
            </w:pPr>
            <w:r>
              <w:rPr>
                <w:rFonts w:ascii="Times New Roman" w:hAnsi="Times New Roman"/>
                <w:b/>
                <w:sz w:val="19"/>
              </w:rPr>
              <w:t>Source</w:t>
            </w:r>
          </w:p>
        </w:tc>
      </w:tr>
      <w:tr>
        <w:tc>
          <w:tcPr>
            <w:tcW w:type="dxa" w:w="2736"/>
          </w:tcPr>
          <w:p>
            <w:pPr>
              <w:spacing w:after="40"/>
            </w:pPr>
            <w:r>
              <w:rPr>
                <w:rFonts w:ascii="Times New Roman" w:hAnsi="Times New Roman"/>
                <w:sz w:val="19"/>
              </w:rPr>
              <w:t>Taylor Jones (Univ. of Pennsylvania)</w:t>
            </w:r>
          </w:p>
        </w:tc>
        <w:tc>
          <w:tcPr>
            <w:tcW w:type="dxa" w:w="4320"/>
          </w:tcPr>
          <w:p>
            <w:pPr>
              <w:spacing w:after="40"/>
            </w:pPr>
            <w:r>
              <w:rPr>
                <w:rFonts w:ascii="Times New Roman" w:hAnsi="Times New Roman"/>
                <w:sz w:val="19"/>
              </w:rPr>
              <w:t>“Semantically … almost void”; a “shibboleth” marking in-group membership; product of “semantic bleaching”</w:t>
            </w:r>
          </w:p>
        </w:tc>
        <w:tc>
          <w:tcPr>
            <w:tcW w:type="dxa" w:w="1440"/>
          </w:tcPr>
          <w:p>
            <w:pPr>
              <w:spacing w:after="40"/>
            </w:pPr>
            <w:r>
              <w:rPr>
                <w:rFonts w:ascii="Times New Roman" w:hAnsi="Times New Roman"/>
                <w:sz w:val="19"/>
              </w:rPr>
              <w:t>CNN (2025)</w:t>
            </w:r>
          </w:p>
        </w:tc>
      </w:tr>
      <w:tr>
        <w:tc>
          <w:tcPr>
            <w:tcW w:type="dxa" w:w="2736"/>
          </w:tcPr>
          <w:p>
            <w:pPr>
              <w:spacing w:after="40"/>
            </w:pPr>
            <w:r>
              <w:rPr>
                <w:rFonts w:ascii="Times New Roman" w:hAnsi="Times New Roman"/>
                <w:sz w:val="19"/>
              </w:rPr>
              <w:t>Valerie Fridland (Univ. of Nevada, Reno)</w:t>
            </w:r>
          </w:p>
        </w:tc>
        <w:tc>
          <w:tcPr>
            <w:tcW w:type="dxa" w:w="4320"/>
          </w:tcPr>
          <w:p>
            <w:pPr>
              <w:spacing w:after="40"/>
            </w:pPr>
            <w:r>
              <w:rPr>
                <w:rFonts w:ascii="Times New Roman" w:hAnsi="Times New Roman"/>
                <w:sz w:val="19"/>
              </w:rPr>
              <w:t>“Void of any semantic meaning”; “makes sense” through social, not referential, meaning</w:t>
            </w:r>
          </w:p>
        </w:tc>
        <w:tc>
          <w:tcPr>
            <w:tcW w:type="dxa" w:w="1440"/>
          </w:tcPr>
          <w:p>
            <w:pPr>
              <w:spacing w:after="40"/>
            </w:pPr>
            <w:r>
              <w:rPr>
                <w:rFonts w:ascii="Times New Roman" w:hAnsi="Times New Roman"/>
                <w:sz w:val="19"/>
              </w:rPr>
              <w:t>Fridland (2026)</w:t>
            </w:r>
          </w:p>
        </w:tc>
      </w:tr>
      <w:tr>
        <w:tc>
          <w:tcPr>
            <w:tcW w:type="dxa" w:w="2736"/>
          </w:tcPr>
          <w:p>
            <w:pPr>
              <w:spacing w:after="40"/>
            </w:pPr>
            <w:r>
              <w:rPr>
                <w:rFonts w:ascii="Times New Roman" w:hAnsi="Times New Roman"/>
                <w:sz w:val="19"/>
              </w:rPr>
              <w:t>Adam Aleksic (“Etymology Nerd”)</w:t>
            </w:r>
          </w:p>
        </w:tc>
        <w:tc>
          <w:tcPr>
            <w:tcW w:type="dxa" w:w="4320"/>
          </w:tcPr>
          <w:p>
            <w:pPr>
              <w:spacing w:after="40"/>
            </w:pPr>
            <w:r>
              <w:rPr>
                <w:rFonts w:ascii="Times New Roman" w:hAnsi="Times New Roman"/>
                <w:sz w:val="19"/>
              </w:rPr>
              <w:t>“Six-seven doesn’t need to have a meaning. What matters is that it lands and provokes a reaction”</w:t>
            </w:r>
          </w:p>
        </w:tc>
        <w:tc>
          <w:tcPr>
            <w:tcW w:type="dxa" w:w="1440"/>
          </w:tcPr>
          <w:p>
            <w:pPr>
              <w:spacing w:after="40"/>
            </w:pPr>
            <w:r>
              <w:rPr>
                <w:rFonts w:ascii="Times New Roman" w:hAnsi="Times New Roman"/>
                <w:sz w:val="19"/>
              </w:rPr>
              <w:t>Today (2024)</w:t>
            </w:r>
          </w:p>
        </w:tc>
      </w:tr>
      <w:tr>
        <w:tc>
          <w:tcPr>
            <w:tcW w:type="dxa" w:w="2736"/>
          </w:tcPr>
          <w:p>
            <w:pPr>
              <w:spacing w:after="40"/>
            </w:pPr>
            <w:r>
              <w:rPr>
                <w:rFonts w:ascii="Times New Roman" w:hAnsi="Times New Roman"/>
                <w:sz w:val="19"/>
              </w:rPr>
              <w:t>Cynthia Gordon (Georgetown Univ.)</w:t>
            </w:r>
          </w:p>
        </w:tc>
        <w:tc>
          <w:tcPr>
            <w:tcW w:type="dxa" w:w="4320"/>
          </w:tcPr>
          <w:p>
            <w:pPr>
              <w:spacing w:after="40"/>
            </w:pPr>
            <w:r>
              <w:rPr>
                <w:rFonts w:ascii="Times New Roman" w:hAnsi="Times New Roman"/>
                <w:sz w:val="19"/>
              </w:rPr>
              <w:t>Trend “oriented to humor and play”; “only humorous … if a group of people are ‘insiders’”</w:t>
            </w:r>
          </w:p>
        </w:tc>
        <w:tc>
          <w:tcPr>
            <w:tcW w:type="dxa" w:w="1440"/>
          </w:tcPr>
          <w:p>
            <w:pPr>
              <w:spacing w:after="40"/>
            </w:pPr>
            <w:r>
              <w:rPr>
                <w:rFonts w:ascii="Times New Roman" w:hAnsi="Times New Roman"/>
                <w:sz w:val="19"/>
              </w:rPr>
              <w:t>Georgetown University (2025)</w:t>
            </w:r>
          </w:p>
        </w:tc>
      </w:tr>
      <w:tr>
        <w:tc>
          <w:tcPr>
            <w:tcW w:type="dxa" w:w="2736"/>
          </w:tcPr>
          <w:p>
            <w:pPr>
              <w:spacing w:after="40"/>
            </w:pPr>
            <w:r>
              <w:rPr>
                <w:rFonts w:ascii="Times New Roman" w:hAnsi="Times New Roman"/>
                <w:sz w:val="19"/>
              </w:rPr>
              <w:t>Steve Johnson (Dictionary.com)</w:t>
            </w:r>
          </w:p>
        </w:tc>
        <w:tc>
          <w:tcPr>
            <w:tcW w:type="dxa" w:w="4320"/>
          </w:tcPr>
          <w:p>
            <w:pPr>
              <w:spacing w:after="40"/>
            </w:pPr>
            <w:r>
              <w:rPr>
                <w:rFonts w:ascii="Times New Roman" w:hAnsi="Times New Roman"/>
                <w:sz w:val="19"/>
              </w:rPr>
              <w:t>An interjection; “a burst of energy that spreads and connects people long before anyone agrees on what it actually means”</w:t>
            </w:r>
          </w:p>
        </w:tc>
        <w:tc>
          <w:tcPr>
            <w:tcW w:type="dxa" w:w="1440"/>
          </w:tcPr>
          <w:p>
            <w:pPr>
              <w:spacing w:after="40"/>
            </w:pPr>
            <w:r>
              <w:rPr>
                <w:rFonts w:ascii="Times New Roman" w:hAnsi="Times New Roman"/>
                <w:sz w:val="19"/>
              </w:rPr>
              <w:t>Smithsonian Magazine (2025)</w:t>
            </w:r>
          </w:p>
        </w:tc>
      </w:tr>
    </w:tbl>
    <w:p>
      <w:pPr>
        <w:spacing w:before="0" w:after="120" w:line="240" w:lineRule="auto"/>
      </w:pPr>
    </w:p>
    <w:p>
      <w:pPr>
        <w:spacing w:before="160" w:after="40" w:line="240" w:lineRule="auto"/>
      </w:pPr>
      <w:r>
        <w:rPr>
          <w:rFonts w:ascii="Times New Roman" w:hAnsi="Times New Roman"/>
          <w:b/>
          <w:sz w:val="24"/>
        </w:rPr>
        <w:t>6.2 Semantic bleaching at internet speed</w:t>
      </w:r>
    </w:p>
    <w:p>
      <w:pPr>
        <w:spacing w:before="0" w:after="120" w:line="240" w:lineRule="auto"/>
        <w:jc w:val="both"/>
      </w:pPr>
      <w:r>
        <w:rPr>
          <w:rFonts w:ascii="Times New Roman" w:hAnsi="Times New Roman"/>
          <w:sz w:val="22"/>
        </w:rPr>
        <w:t xml:space="preserve">Semantic bleaching—the loss of denotational content while form and function persist—is a well-attested diachronic process. What </w:t>
      </w:r>
      <w:r>
        <w:rPr>
          <w:rFonts w:ascii="Times New Roman" w:hAnsi="Times New Roman"/>
          <w:i/>
          <w:sz w:val="22"/>
        </w:rPr>
        <w:t>6-7</w:t>
      </w:r>
      <w:r>
        <w:rPr>
          <w:rFonts w:ascii="Times New Roman" w:hAnsi="Times New Roman"/>
          <w:sz w:val="22"/>
        </w:rPr>
        <w:t xml:space="preserve"> illustrates is bleaching compressed from centuries into months: the term arguably entered circulation already bleached, its tenuous link to a song lyric and a height statistic severed almost immediately (CNN, 2025). A comparable, slightly earlier case is “yeet,” which University of Colorado Boulder (2021) linguists analysed as undergoing “indexical bleaching” as it spread from African American English and attached primarily to gesture and stance. Internet circulation thus functions as a high-speed laboratory for processes historical linguistics usually observes only in slow motion.</w:t>
      </w:r>
    </w:p>
    <w:p>
      <w:pPr>
        <w:spacing w:before="160" w:after="40" w:line="240" w:lineRule="auto"/>
      </w:pPr>
      <w:r>
        <w:rPr>
          <w:rFonts w:ascii="Times New Roman" w:hAnsi="Times New Roman"/>
          <w:b/>
          <w:sz w:val="24"/>
        </w:rPr>
        <w:t>6.3 Expressive meaning and descriptive ineffability</w:t>
      </w:r>
    </w:p>
    <w:p>
      <w:pPr>
        <w:spacing w:before="0" w:after="120" w:line="240" w:lineRule="auto"/>
        <w:jc w:val="both"/>
      </w:pPr>
      <w:r>
        <w:rPr>
          <w:rFonts w:ascii="Times New Roman" w:hAnsi="Times New Roman"/>
          <w:sz w:val="22"/>
        </w:rPr>
        <w:t xml:space="preserve">The most precise formal home for </w:t>
      </w:r>
      <w:r>
        <w:rPr>
          <w:rFonts w:ascii="Times New Roman" w:hAnsi="Times New Roman"/>
          <w:i/>
          <w:sz w:val="22"/>
        </w:rPr>
        <w:t>6-7</w:t>
      </w:r>
      <w:r>
        <w:rPr>
          <w:rFonts w:ascii="Times New Roman" w:hAnsi="Times New Roman"/>
          <w:sz w:val="22"/>
        </w:rPr>
        <w:t xml:space="preserve"> is the expressivist strand of semantics. Kaplan’s (1999) “The Meaning of ‘Ouch’ and ‘Oops’” treats interjections as evidence for a semantics of meaning as use, distinguishing expressive content (which displays a speaker’s attitude) from descriptive, truth-apt content. Potts (2005, 2007) develops this into a systematic account of expressives as contributing non-truth-conditional, speaker-oriented meaning—what Kaplan (1999) and Gutzmann (2015) call use-conditional meaning—independent of at-issue content. Potts’s diagnostic properties map onto </w:t>
      </w:r>
      <w:r>
        <w:rPr>
          <w:rFonts w:ascii="Times New Roman" w:hAnsi="Times New Roman"/>
          <w:i/>
          <w:sz w:val="22"/>
        </w:rPr>
        <w:t>6-7</w:t>
      </w:r>
      <w:r>
        <w:rPr>
          <w:rFonts w:ascii="Times New Roman" w:hAnsi="Times New Roman"/>
          <w:sz w:val="22"/>
        </w:rPr>
        <w:t xml:space="preserve"> with uncanny precision (Table 3); descriptive ineffability—speakers are never fully satisfied paraphrasing an expressive and resort instead to examples of use—is exactly the behaviour of teenagers and lexicographers confronted with </w:t>
      </w:r>
      <w:r>
        <w:rPr>
          <w:rFonts w:ascii="Times New Roman" w:hAnsi="Times New Roman"/>
          <w:i/>
          <w:sz w:val="22"/>
        </w:rPr>
        <w:t>6-7</w:t>
      </w:r>
      <w:r>
        <w:rPr>
          <w:rFonts w:ascii="Times New Roman" w:hAnsi="Times New Roman"/>
          <w:sz w:val="22"/>
        </w:rPr>
        <w:t>. That a dictionary’s best account is “impossible to define … but meaningful to the people who use it” is the textbook signature of expressive (use-conditional) meaning.</w:t>
      </w:r>
    </w:p>
    <w:p>
      <w:pPr>
        <w:spacing w:before="160" w:after="40" w:line="240" w:lineRule="auto"/>
      </w:pPr>
      <w:r>
        <w:rPr>
          <w:rFonts w:ascii="Times New Roman" w:hAnsi="Times New Roman"/>
          <w:b/>
          <w:sz w:val="20"/>
        </w:rPr>
        <w:t>Table 3. Potts’s (2007) diagnostic properties of expressives mapped onto “6-7.”</w:t>
      </w:r>
    </w:p>
    <w:tbl>
      <w:tblPr>
        <w:tblStyle w:val="TableGrid"/>
        <w:tblW w:type="auto" w:w="0"/>
        <w:jc w:val="center"/>
        <w:tblLook w:firstColumn="1" w:firstRow="1" w:lastColumn="0" w:lastRow="0" w:noHBand="0" w:noVBand="1" w:val="04A0"/>
      </w:tblPr>
      <w:tblGrid>
        <w:gridCol w:w="3120"/>
        <w:gridCol w:w="3120"/>
        <w:gridCol w:w="3120"/>
      </w:tblGrid>
      <w:tr>
        <w:tc>
          <w:tcPr>
            <w:tcW w:type="dxa" w:w="2016"/>
          </w:tcPr>
          <w:p>
            <w:pPr>
              <w:spacing w:after="40"/>
            </w:pPr>
            <w:r>
              <w:rPr>
                <w:rFonts w:ascii="Times New Roman" w:hAnsi="Times New Roman"/>
                <w:b/>
                <w:sz w:val="19"/>
              </w:rPr>
              <w:t>Property</w:t>
            </w:r>
          </w:p>
        </w:tc>
        <w:tc>
          <w:tcPr>
            <w:tcW w:type="dxa" w:w="3888"/>
          </w:tcPr>
          <w:p>
            <w:pPr>
              <w:spacing w:after="40"/>
            </w:pPr>
            <w:r>
              <w:rPr>
                <w:rFonts w:ascii="Times New Roman" w:hAnsi="Times New Roman"/>
                <w:b/>
                <w:sz w:val="19"/>
              </w:rPr>
              <w:t>Definition (Potts, 2007)</w:t>
            </w:r>
          </w:p>
        </w:tc>
        <w:tc>
          <w:tcPr>
            <w:tcW w:type="dxa" w:w="3456"/>
          </w:tcPr>
          <w:p>
            <w:pPr>
              <w:spacing w:after="40"/>
            </w:pPr>
            <w:r>
              <w:rPr>
                <w:rFonts w:ascii="Times New Roman" w:hAnsi="Times New Roman"/>
                <w:b/>
                <w:sz w:val="19"/>
              </w:rPr>
              <w:t>Manifestation in “6-7”</w:t>
            </w:r>
          </w:p>
        </w:tc>
      </w:tr>
      <w:tr>
        <w:tc>
          <w:tcPr>
            <w:tcW w:type="dxa" w:w="2016"/>
          </w:tcPr>
          <w:p>
            <w:pPr>
              <w:spacing w:after="40"/>
            </w:pPr>
            <w:r>
              <w:rPr>
                <w:rFonts w:ascii="Times New Roman" w:hAnsi="Times New Roman"/>
                <w:sz w:val="19"/>
              </w:rPr>
              <w:t>Independence</w:t>
            </w:r>
          </w:p>
        </w:tc>
        <w:tc>
          <w:tcPr>
            <w:tcW w:type="dxa" w:w="3888"/>
          </w:tcPr>
          <w:p>
            <w:pPr>
              <w:spacing w:after="40"/>
            </w:pPr>
            <w:r>
              <w:rPr>
                <w:rFonts w:ascii="Times New Roman" w:hAnsi="Times New Roman"/>
                <w:sz w:val="19"/>
              </w:rPr>
              <w:t xml:space="preserve">Expressive content is </w:t>
            </w:r>
            <w:r>
              <w:rPr>
                <w:rFonts w:ascii="Times New Roman" w:hAnsi="Times New Roman"/>
                <w:i/>
                <w:sz w:val="19"/>
              </w:rPr>
              <w:t>largely</w:t>
            </w:r>
            <w:r>
              <w:rPr>
                <w:rFonts w:ascii="Times New Roman" w:hAnsi="Times New Roman"/>
                <w:sz w:val="19"/>
              </w:rPr>
              <w:t xml:space="preserve"> independent of—and does not affect—the at-issue/descriptive content</w:t>
            </w:r>
          </w:p>
        </w:tc>
        <w:tc>
          <w:tcPr>
            <w:tcW w:type="dxa" w:w="3456"/>
          </w:tcPr>
          <w:p>
            <w:pPr>
              <w:spacing w:after="40"/>
            </w:pPr>
            <w:r>
              <w:rPr>
                <w:rFonts w:ascii="Times New Roman" w:hAnsi="Times New Roman"/>
                <w:sz w:val="19"/>
              </w:rPr>
              <w:t>Adds no proposition to any sentence it punctuates</w:t>
            </w:r>
          </w:p>
        </w:tc>
      </w:tr>
      <w:tr>
        <w:tc>
          <w:tcPr>
            <w:tcW w:type="dxa" w:w="2016"/>
          </w:tcPr>
          <w:p>
            <w:pPr>
              <w:spacing w:after="40"/>
            </w:pPr>
            <w:r>
              <w:rPr>
                <w:rFonts w:ascii="Times New Roman" w:hAnsi="Times New Roman"/>
                <w:sz w:val="19"/>
              </w:rPr>
              <w:t>Nondisplaceability</w:t>
            </w:r>
          </w:p>
        </w:tc>
        <w:tc>
          <w:tcPr>
            <w:tcW w:type="dxa" w:w="3888"/>
          </w:tcPr>
          <w:p>
            <w:pPr>
              <w:spacing w:after="40"/>
            </w:pPr>
            <w:r>
              <w:rPr>
                <w:rFonts w:ascii="Times New Roman" w:hAnsi="Times New Roman"/>
                <w:sz w:val="19"/>
              </w:rPr>
              <w:t>Predicates something of the here-and-now of utterance</w:t>
            </w:r>
          </w:p>
        </w:tc>
        <w:tc>
          <w:tcPr>
            <w:tcW w:type="dxa" w:w="3456"/>
          </w:tcPr>
          <w:p>
            <w:pPr>
              <w:spacing w:after="40"/>
            </w:pPr>
            <w:r>
              <w:rPr>
                <w:rFonts w:ascii="Times New Roman" w:hAnsi="Times New Roman"/>
                <w:sz w:val="19"/>
              </w:rPr>
              <w:t>Performs the present moment; cannot report a past “6-7”</w:t>
            </w:r>
          </w:p>
        </w:tc>
      </w:tr>
      <w:tr>
        <w:tc>
          <w:tcPr>
            <w:tcW w:type="dxa" w:w="2016"/>
          </w:tcPr>
          <w:p>
            <w:pPr>
              <w:spacing w:after="40"/>
            </w:pPr>
            <w:r>
              <w:rPr>
                <w:rFonts w:ascii="Times New Roman" w:hAnsi="Times New Roman"/>
                <w:sz w:val="19"/>
              </w:rPr>
              <w:t>Perspective dependence</w:t>
            </w:r>
          </w:p>
        </w:tc>
        <w:tc>
          <w:tcPr>
            <w:tcW w:type="dxa" w:w="3888"/>
          </w:tcPr>
          <w:p>
            <w:pPr>
              <w:spacing w:after="40"/>
            </w:pPr>
            <w:r>
              <w:rPr>
                <w:rFonts w:ascii="Times New Roman" w:hAnsi="Times New Roman"/>
                <w:sz w:val="19"/>
              </w:rPr>
              <w:t>Tied to a perspective, usually the speaker’s</w:t>
            </w:r>
          </w:p>
        </w:tc>
        <w:tc>
          <w:tcPr>
            <w:tcW w:type="dxa" w:w="3456"/>
          </w:tcPr>
          <w:p>
            <w:pPr>
              <w:spacing w:after="40"/>
            </w:pPr>
            <w:r>
              <w:rPr>
                <w:rFonts w:ascii="Times New Roman" w:hAnsi="Times New Roman"/>
                <w:sz w:val="19"/>
              </w:rPr>
              <w:t>Signals the speaker’s stance/affiliation, not a fact</w:t>
            </w:r>
          </w:p>
        </w:tc>
      </w:tr>
      <w:tr>
        <w:tc>
          <w:tcPr>
            <w:tcW w:type="dxa" w:w="2016"/>
          </w:tcPr>
          <w:p>
            <w:pPr>
              <w:spacing w:after="40"/>
            </w:pPr>
            <w:r>
              <w:rPr>
                <w:rFonts w:ascii="Times New Roman" w:hAnsi="Times New Roman"/>
                <w:sz w:val="19"/>
              </w:rPr>
              <w:t>Descriptive ineffability</w:t>
            </w:r>
          </w:p>
        </w:tc>
        <w:tc>
          <w:tcPr>
            <w:tcW w:type="dxa" w:w="3888"/>
          </w:tcPr>
          <w:p>
            <w:pPr>
              <w:spacing w:after="40"/>
            </w:pPr>
            <w:r>
              <w:rPr>
                <w:rFonts w:ascii="Times New Roman" w:hAnsi="Times New Roman"/>
                <w:sz w:val="19"/>
              </w:rPr>
              <w:t xml:space="preserve">Speakers are never </w:t>
            </w:r>
            <w:r>
              <w:rPr>
                <w:rFonts w:ascii="Times New Roman" w:hAnsi="Times New Roman"/>
                <w:i/>
                <w:sz w:val="19"/>
              </w:rPr>
              <w:t>fully satisfied</w:t>
            </w:r>
            <w:r>
              <w:rPr>
                <w:rFonts w:ascii="Times New Roman" w:hAnsi="Times New Roman"/>
                <w:sz w:val="19"/>
              </w:rPr>
              <w:t xml:space="preserve"> paraphrasing it in descriptive (non-expressive) terms</w:t>
            </w:r>
          </w:p>
        </w:tc>
        <w:tc>
          <w:tcPr>
            <w:tcW w:type="dxa" w:w="3456"/>
          </w:tcPr>
          <w:p>
            <w:pPr>
              <w:spacing w:after="40"/>
            </w:pPr>
            <w:r>
              <w:rPr>
                <w:rFonts w:ascii="Times New Roman" w:hAnsi="Times New Roman"/>
                <w:sz w:val="19"/>
              </w:rPr>
              <w:t xml:space="preserve">Defined by </w:t>
            </w:r>
            <w:r>
              <w:rPr>
                <w:rFonts w:ascii="Times New Roman" w:hAnsi="Times New Roman"/>
                <w:i/>
                <w:sz w:val="19"/>
              </w:rPr>
              <w:t>when</w:t>
            </w:r>
            <w:r>
              <w:rPr>
                <w:rFonts w:ascii="Times New Roman" w:hAnsi="Times New Roman"/>
                <w:sz w:val="19"/>
              </w:rPr>
              <w:t xml:space="preserve"> it is said, not </w:t>
            </w:r>
            <w:r>
              <w:rPr>
                <w:rFonts w:ascii="Times New Roman" w:hAnsi="Times New Roman"/>
                <w:i/>
                <w:sz w:val="19"/>
              </w:rPr>
              <w:t>what</w:t>
            </w:r>
            <w:r>
              <w:rPr>
                <w:rFonts w:ascii="Times New Roman" w:hAnsi="Times New Roman"/>
                <w:sz w:val="19"/>
              </w:rPr>
              <w:t xml:space="preserve"> it denotes</w:t>
            </w:r>
          </w:p>
        </w:tc>
      </w:tr>
      <w:tr>
        <w:tc>
          <w:tcPr>
            <w:tcW w:type="dxa" w:w="2016"/>
          </w:tcPr>
          <w:p>
            <w:pPr>
              <w:spacing w:after="40"/>
            </w:pPr>
            <w:r>
              <w:rPr>
                <w:rFonts w:ascii="Times New Roman" w:hAnsi="Times New Roman"/>
                <w:sz w:val="19"/>
              </w:rPr>
              <w:t>Immediacy</w:t>
            </w:r>
          </w:p>
        </w:tc>
        <w:tc>
          <w:tcPr>
            <w:tcW w:type="dxa" w:w="3888"/>
          </w:tcPr>
          <w:p>
            <w:pPr>
              <w:spacing w:after="40"/>
            </w:pPr>
            <w:r>
              <w:rPr>
                <w:rFonts w:ascii="Times New Roman" w:hAnsi="Times New Roman"/>
                <w:sz w:val="19"/>
              </w:rPr>
              <w:t>Performs an act rather than describing one</w:t>
            </w:r>
          </w:p>
        </w:tc>
        <w:tc>
          <w:tcPr>
            <w:tcW w:type="dxa" w:w="3456"/>
          </w:tcPr>
          <w:p>
            <w:pPr>
              <w:spacing w:after="40"/>
            </w:pPr>
            <w:r>
              <w:rPr>
                <w:rFonts w:ascii="Times New Roman" w:hAnsi="Times New Roman"/>
                <w:sz w:val="19"/>
              </w:rPr>
              <w:t xml:space="preserve">Saying it </w:t>
            </w:r>
            <w:r>
              <w:rPr>
                <w:rFonts w:ascii="Times New Roman" w:hAnsi="Times New Roman"/>
                <w:i/>
                <w:sz w:val="19"/>
              </w:rPr>
              <w:t>is</w:t>
            </w:r>
            <w:r>
              <w:rPr>
                <w:rFonts w:ascii="Times New Roman" w:hAnsi="Times New Roman"/>
                <w:sz w:val="19"/>
              </w:rPr>
              <w:t xml:space="preserve"> the social act</w:t>
            </w:r>
          </w:p>
        </w:tc>
      </w:tr>
      <w:tr>
        <w:tc>
          <w:tcPr>
            <w:tcW w:type="dxa" w:w="2016"/>
          </w:tcPr>
          <w:p>
            <w:pPr>
              <w:spacing w:after="40"/>
            </w:pPr>
            <w:r>
              <w:rPr>
                <w:rFonts w:ascii="Times New Roman" w:hAnsi="Times New Roman"/>
                <w:sz w:val="19"/>
              </w:rPr>
              <w:t>Repeatability</w:t>
            </w:r>
          </w:p>
        </w:tc>
        <w:tc>
          <w:tcPr>
            <w:tcW w:type="dxa" w:w="3888"/>
          </w:tcPr>
          <w:p>
            <w:pPr>
              <w:spacing w:after="40"/>
            </w:pPr>
            <w:r>
              <w:rPr>
                <w:rFonts w:ascii="Times New Roman" w:hAnsi="Times New Roman"/>
                <w:sz w:val="19"/>
              </w:rPr>
              <w:t>Repetition strengthens rather than becoming redundant</w:t>
            </w:r>
          </w:p>
        </w:tc>
        <w:tc>
          <w:tcPr>
            <w:tcW w:type="dxa" w:w="3456"/>
          </w:tcPr>
          <w:p>
            <w:pPr>
              <w:spacing w:after="40"/>
            </w:pPr>
            <w:r>
              <w:rPr>
                <w:rFonts w:ascii="Times New Roman" w:hAnsi="Times New Roman"/>
                <w:sz w:val="19"/>
              </w:rPr>
              <w:t>Chanted, echoic deployment in classrooms and arenas</w:t>
            </w:r>
          </w:p>
        </w:tc>
      </w:tr>
    </w:tbl>
    <w:p>
      <w:pPr>
        <w:spacing w:before="0" w:after="120" w:line="240" w:lineRule="auto"/>
      </w:pPr>
    </w:p>
    <w:p>
      <w:pPr>
        <w:spacing w:before="160" w:after="40" w:line="240" w:lineRule="auto"/>
      </w:pPr>
      <w:r>
        <w:rPr>
          <w:rFonts w:ascii="Times New Roman" w:hAnsi="Times New Roman"/>
          <w:b/>
          <w:sz w:val="24"/>
        </w:rPr>
        <w:t>6.4 Indexicality and third-wave sociolinguistics</w:t>
      </w:r>
    </w:p>
    <w:p>
      <w:pPr>
        <w:spacing w:before="0" w:after="120" w:line="240" w:lineRule="auto"/>
        <w:jc w:val="both"/>
      </w:pPr>
      <w:r>
        <w:rPr>
          <w:rFonts w:ascii="Times New Roman" w:hAnsi="Times New Roman"/>
          <w:sz w:val="22"/>
        </w:rPr>
        <w:t xml:space="preserve">If </w:t>
      </w:r>
      <w:r>
        <w:rPr>
          <w:rFonts w:ascii="Times New Roman" w:hAnsi="Times New Roman"/>
          <w:i/>
          <w:sz w:val="22"/>
        </w:rPr>
        <w:t>6-7</w:t>
      </w:r>
      <w:r>
        <w:rPr>
          <w:rFonts w:ascii="Times New Roman" w:hAnsi="Times New Roman"/>
          <w:sz w:val="22"/>
        </w:rPr>
        <w:t xml:space="preserve"> is not denotational, what </w:t>
      </w:r>
      <w:r>
        <w:rPr>
          <w:rFonts w:ascii="Times New Roman" w:hAnsi="Times New Roman"/>
          <w:i/>
          <w:sz w:val="22"/>
        </w:rPr>
        <w:t>is</w:t>
      </w:r>
      <w:r>
        <w:rPr>
          <w:rFonts w:ascii="Times New Roman" w:hAnsi="Times New Roman"/>
          <w:sz w:val="22"/>
        </w:rPr>
        <w:t xml:space="preserve"> its meaning? Sociolinguistics answers: indexical. Silverstein’s (2003) indexical order holds that forms acquire social meaning by indexing macro-social categories in micro-level interaction. Eckert (2008, 2018) argues that the meanings of linguistic variables are not fixed denotations but an </w:t>
      </w:r>
      <w:r>
        <w:rPr>
          <w:rFonts w:ascii="Times New Roman" w:hAnsi="Times New Roman"/>
          <w:i/>
          <w:sz w:val="22"/>
        </w:rPr>
        <w:t>indexical field</w:t>
      </w:r>
      <w:r>
        <w:rPr>
          <w:rFonts w:ascii="Times New Roman" w:hAnsi="Times New Roman"/>
          <w:sz w:val="22"/>
        </w:rPr>
        <w:t xml:space="preserve">—a constellation of ideologically related meanings activated in situated use to construct identity and signal stance. On this view the “meaning” of </w:t>
      </w:r>
      <w:r>
        <w:rPr>
          <w:rFonts w:ascii="Times New Roman" w:hAnsi="Times New Roman"/>
          <w:i/>
          <w:sz w:val="22"/>
        </w:rPr>
        <w:t>6-7</w:t>
      </w:r>
      <w:r>
        <w:rPr>
          <w:rFonts w:ascii="Times New Roman" w:hAnsi="Times New Roman"/>
          <w:sz w:val="22"/>
        </w:rPr>
        <w:t xml:space="preserve"> just </w:t>
      </w:r>
      <w:r>
        <w:rPr>
          <w:rFonts w:ascii="Times New Roman" w:hAnsi="Times New Roman"/>
          <w:i/>
          <w:sz w:val="22"/>
        </w:rPr>
        <w:t>is</w:t>
      </w:r>
      <w:r>
        <w:rPr>
          <w:rFonts w:ascii="Times New Roman" w:hAnsi="Times New Roman"/>
          <w:sz w:val="22"/>
        </w:rPr>
        <w:t xml:space="preserve"> its indexing of Generation Alpha in-group membership, playful stance, and shared participation: real, learnable, and socially consequential, yet categorically different from reference.</w:t>
      </w:r>
    </w:p>
    <w:p>
      <w:pPr>
        <w:spacing w:before="160" w:after="40" w:line="240" w:lineRule="auto"/>
      </w:pPr>
      <w:r>
        <w:rPr>
          <w:rFonts w:ascii="Times New Roman" w:hAnsi="Times New Roman"/>
          <w:b/>
          <w:sz w:val="24"/>
        </w:rPr>
        <w:t>6.5 Slang as solidarity, and the anti-language</w:t>
      </w:r>
    </w:p>
    <w:p>
      <w:pPr>
        <w:spacing w:before="0" w:after="120" w:line="240" w:lineRule="auto"/>
        <w:jc w:val="both"/>
      </w:pPr>
      <w:r>
        <w:rPr>
          <w:rFonts w:ascii="Times New Roman" w:hAnsi="Times New Roman"/>
          <w:sz w:val="22"/>
        </w:rPr>
        <w:t xml:space="preserve">The sociology of slang independently predicts items like </w:t>
      </w:r>
      <w:r>
        <w:rPr>
          <w:rFonts w:ascii="Times New Roman" w:hAnsi="Times New Roman"/>
          <w:i/>
          <w:sz w:val="22"/>
        </w:rPr>
        <w:t>6-7</w:t>
      </w:r>
      <w:r>
        <w:rPr>
          <w:rFonts w:ascii="Times New Roman" w:hAnsi="Times New Roman"/>
          <w:sz w:val="22"/>
        </w:rPr>
        <w:t xml:space="preserve">. Eble (1996) identifies the central purposes of slang as “cementing group identity and opposing authority,” with slang “deliberately chosen … to mark … inclusion in … a social group.” Halliday’s (1976) anti-language describes how oppositional groups generate vocabulary that “serves to create and maintain social structure through conversation,” often via overlexicalization. </w:t>
      </w:r>
      <w:r>
        <w:rPr>
          <w:rFonts w:ascii="Times New Roman" w:hAnsi="Times New Roman"/>
          <w:i/>
          <w:sz w:val="22"/>
        </w:rPr>
        <w:t>6-7</w:t>
      </w:r>
      <w:r>
        <w:rPr>
          <w:rFonts w:ascii="Times New Roman" w:hAnsi="Times New Roman"/>
          <w:sz w:val="22"/>
        </w:rPr>
        <w:t>, as a shibboleth that bonds adolescents and irritates authority figures, performs this prototypical solidarity-and-opposition function with denotational content reduced essentially to zero.</w:t>
      </w:r>
    </w:p>
    <w:p>
      <w:pPr>
        <w:spacing w:before="160" w:after="40" w:line="240" w:lineRule="auto"/>
      </w:pPr>
      <w:r>
        <w:rPr>
          <w:rFonts w:ascii="Times New Roman" w:hAnsi="Times New Roman"/>
          <w:b/>
          <w:sz w:val="24"/>
        </w:rPr>
        <w:t>6.6 Memetics and internet linguistics</w:t>
      </w:r>
    </w:p>
    <w:p>
      <w:pPr>
        <w:spacing w:before="0" w:after="120" w:line="240" w:lineRule="auto"/>
        <w:jc w:val="both"/>
      </w:pPr>
      <w:r>
        <w:rPr>
          <w:rFonts w:ascii="Times New Roman" w:hAnsi="Times New Roman"/>
          <w:sz w:val="22"/>
        </w:rPr>
        <w:t xml:space="preserve">Finally, the mechanism of </w:t>
      </w:r>
      <w:r>
        <w:rPr>
          <w:rFonts w:ascii="Times New Roman" w:hAnsi="Times New Roman"/>
          <w:i/>
          <w:sz w:val="22"/>
        </w:rPr>
        <w:t>6-7</w:t>
      </w:r>
      <w:r>
        <w:rPr>
          <w:rFonts w:ascii="Times New Roman" w:hAnsi="Times New Roman"/>
          <w:sz w:val="22"/>
        </w:rPr>
        <w:t xml:space="preserve">’s spread is memetic rather than semantic. Dawkins (1976) coined “meme” as “a unit of cultural transmission, or a unit of imitation” propagating by copying—by replication, not by conveying fixed content. McCulloch (2019) shows that the “artfully disarrayed” form of animal-meme language made it “more likely to spread,” attributing virality to sound, form, and play rather than semantic payload. </w:t>
      </w:r>
      <w:r>
        <w:rPr>
          <w:rFonts w:ascii="Times New Roman" w:hAnsi="Times New Roman"/>
          <w:i/>
          <w:sz w:val="22"/>
        </w:rPr>
        <w:t>6-7</w:t>
      </w:r>
      <w:r>
        <w:rPr>
          <w:rFonts w:ascii="Times New Roman" w:hAnsi="Times New Roman"/>
          <w:sz w:val="22"/>
        </w:rPr>
        <w:t xml:space="preserve"> spreads as Dawkinsian imitation: a catchy form plus a gesture, replicating because it is “just funny to say.” The broader “brainrot” lexicon—</w:t>
      </w:r>
      <w:r>
        <w:rPr>
          <w:rFonts w:ascii="Times New Roman" w:hAnsi="Times New Roman"/>
          <w:i/>
          <w:sz w:val="22"/>
        </w:rPr>
        <w:t>skibidi</w:t>
      </w:r>
      <w:r>
        <w:rPr>
          <w:rFonts w:ascii="Times New Roman" w:hAnsi="Times New Roman"/>
          <w:sz w:val="22"/>
        </w:rPr>
        <w:t xml:space="preserve"> (a “pseudo word,” per Aleksic), </w:t>
      </w:r>
      <w:r>
        <w:rPr>
          <w:rFonts w:ascii="Times New Roman" w:hAnsi="Times New Roman"/>
          <w:i/>
          <w:sz w:val="22"/>
        </w:rPr>
        <w:t>Ohio</w:t>
      </w:r>
      <w:r>
        <w:rPr>
          <w:rFonts w:ascii="Times New Roman" w:hAnsi="Times New Roman"/>
          <w:sz w:val="22"/>
        </w:rPr>
        <w:t xml:space="preserve">, </w:t>
      </w:r>
      <w:r>
        <w:rPr>
          <w:rFonts w:ascii="Times New Roman" w:hAnsi="Times New Roman"/>
          <w:i/>
          <w:sz w:val="22"/>
        </w:rPr>
        <w:t>gyat</w:t>
      </w:r>
      <w:r>
        <w:rPr>
          <w:rFonts w:ascii="Times New Roman" w:hAnsi="Times New Roman"/>
          <w:sz w:val="22"/>
        </w:rPr>
        <w:t>—populates the same category, and Oxford’s selection of “brain rot” as its 2024 Word of the Year marks the cultural recognition of deliberately contentless online language (Oxford University Press, 2024; Today, 2024). Figure 4 summarises the disciplinary convergence.</w:t>
      </w:r>
    </w:p>
    <w:p>
      <w:pPr>
        <w:spacing w:before="160" w:after="40" w:line="240" w:lineRule="auto"/>
        <w:jc w:val="center"/>
      </w:pPr>
      <w:r>
        <w:drawing>
          <wp:inline xmlns:a="http://schemas.openxmlformats.org/drawingml/2006/main" xmlns:pic="http://schemas.openxmlformats.org/drawingml/2006/picture">
            <wp:extent cx="5394960" cy="3484341"/>
            <wp:docPr id="4" name="Picture 4"/>
            <wp:cNvGraphicFramePr>
              <a:graphicFrameLocks noChangeAspect="1"/>
            </wp:cNvGraphicFramePr>
            <a:graphic>
              <a:graphicData uri="http://schemas.openxmlformats.org/drawingml/2006/picture">
                <pic:pic>
                  <pic:nvPicPr>
                    <pic:cNvPr id="0" name="fig4_convergence.png"/>
                    <pic:cNvPicPr/>
                  </pic:nvPicPr>
                  <pic:blipFill>
                    <a:blip r:embed="rId12"/>
                    <a:stretch>
                      <a:fillRect/>
                    </a:stretch>
                  </pic:blipFill>
                  <pic:spPr>
                    <a:xfrm>
                      <a:off x="0" y="0"/>
                      <a:ext cx="5394960" cy="3484341"/>
                    </a:xfrm>
                    <a:prstGeom prst="rect"/>
                  </pic:spPr>
                </pic:pic>
              </a:graphicData>
            </a:graphic>
          </wp:inline>
        </w:drawing>
      </w:r>
    </w:p>
    <w:p>
      <w:pPr>
        <w:spacing w:before="0" w:after="160" w:line="240" w:lineRule="auto"/>
        <w:jc w:val="center"/>
      </w:pPr>
      <w:r>
        <w:rPr>
          <w:rFonts w:ascii="Times New Roman" w:hAnsi="Times New Roman"/>
          <w:b/>
          <w:sz w:val="18"/>
        </w:rPr>
        <w:t>Figure 4. Disciplinary convergence on phatic-only language as social rather than denotational.</w:t>
      </w:r>
    </w:p>
    <w:p>
      <w:pPr>
        <w:spacing w:before="240" w:after="80" w:line="240" w:lineRule="auto"/>
      </w:pPr>
      <w:r>
        <w:rPr>
          <w:rFonts w:ascii="Times New Roman" w:hAnsi="Times New Roman"/>
          <w:b/>
          <w:sz w:val="26"/>
        </w:rPr>
        <w:t>7. Discussion</w:t>
      </w:r>
    </w:p>
    <w:p>
      <w:pPr>
        <w:spacing w:before="160" w:after="40" w:line="240" w:lineRule="auto"/>
      </w:pPr>
      <w:r>
        <w:rPr>
          <w:rFonts w:ascii="Times New Roman" w:hAnsi="Times New Roman"/>
          <w:b/>
          <w:sz w:val="24"/>
        </w:rPr>
        <w:t>7.1 The lexicographic paradox as a category signal</w:t>
      </w:r>
    </w:p>
    <w:p>
      <w:pPr>
        <w:spacing w:before="0" w:after="120" w:line="240" w:lineRule="auto"/>
        <w:jc w:val="both"/>
      </w:pPr>
      <w:r>
        <w:rPr>
          <w:rFonts w:ascii="Times New Roman" w:hAnsi="Times New Roman"/>
          <w:sz w:val="22"/>
        </w:rPr>
        <w:t xml:space="preserve">The headline irony—a dictionary crowning a word it cannot define—dissolves once the term is correctly categorised. Dictionary.com’s gloss (“meaningless, ubiquitous, and nonsensical … still … meaningful to the people who use it because of the connection it fosters”) is a near-paraphrase of Malinowski’s phatic communion and Potts’s expressive meaning. Merriam-Webster’s slang entry is equally telling: it defines </w:t>
      </w:r>
      <w:r>
        <w:rPr>
          <w:rFonts w:ascii="Times New Roman" w:hAnsi="Times New Roman"/>
          <w:i/>
          <w:sz w:val="22"/>
        </w:rPr>
        <w:t>six seven</w:t>
      </w:r>
      <w:r>
        <w:rPr>
          <w:rFonts w:ascii="Times New Roman" w:hAnsi="Times New Roman"/>
          <w:sz w:val="22"/>
        </w:rPr>
        <w:t xml:space="preserve"> as “a nonsensical expression connected to a song and a basketball player” (Merriam-Webster, n.d.)—that is, by </w:t>
      </w:r>
      <w:r>
        <w:rPr>
          <w:rFonts w:ascii="Times New Roman" w:hAnsi="Times New Roman"/>
          <w:i/>
          <w:sz w:val="22"/>
        </w:rPr>
        <w:t>what it attaches to</w:t>
      </w:r>
      <w:r>
        <w:rPr>
          <w:rFonts w:ascii="Times New Roman" w:hAnsi="Times New Roman"/>
          <w:sz w:val="22"/>
        </w:rPr>
        <w:t xml:space="preserve"> rather than by what it denotes, exactly the behaviour descriptive ineffability predicts. The institution of definition meets its limit not because </w:t>
      </w:r>
      <w:r>
        <w:rPr>
          <w:rFonts w:ascii="Times New Roman" w:hAnsi="Times New Roman"/>
          <w:i/>
          <w:sz w:val="22"/>
        </w:rPr>
        <w:t>6-7</w:t>
      </w:r>
      <w:r>
        <w:rPr>
          <w:rFonts w:ascii="Times New Roman" w:hAnsi="Times New Roman"/>
          <w:sz w:val="22"/>
        </w:rPr>
        <w:t xml:space="preserve"> is sub-linguistic, but because the meaning-based, definitional model of the lexicon is the wrong model for this class of item.</w:t>
      </w:r>
    </w:p>
    <w:p>
      <w:pPr>
        <w:spacing w:before="160" w:after="40" w:line="240" w:lineRule="auto"/>
      </w:pPr>
      <w:r>
        <w:rPr>
          <w:rFonts w:ascii="Times New Roman" w:hAnsi="Times New Roman"/>
          <w:b/>
          <w:sz w:val="24"/>
        </w:rPr>
        <w:t>7.2 Not a refutation but a scoping</w:t>
      </w:r>
    </w:p>
    <w:p>
      <w:pPr>
        <w:spacing w:before="0" w:after="120" w:line="240" w:lineRule="auto"/>
        <w:jc w:val="both"/>
      </w:pPr>
      <w:r>
        <w:rPr>
          <w:rFonts w:ascii="Times New Roman" w:hAnsi="Times New Roman"/>
          <w:sz w:val="22"/>
        </w:rPr>
        <w:t xml:space="preserve">It would overreach to say </w:t>
      </w:r>
      <w:r>
        <w:rPr>
          <w:rFonts w:ascii="Times New Roman" w:hAnsi="Times New Roman"/>
          <w:i/>
          <w:sz w:val="22"/>
        </w:rPr>
        <w:t>6-7</w:t>
      </w:r>
      <w:r>
        <w:rPr>
          <w:rFonts w:ascii="Times New Roman" w:hAnsi="Times New Roman"/>
          <w:sz w:val="22"/>
        </w:rPr>
        <w:t xml:space="preserve"> “refutes” referential or truth-conditional semantics. Those theories were designed for the truth-apt, denotational core of the lexicon and remain powerful there. What </w:t>
      </w:r>
      <w:r>
        <w:rPr>
          <w:rFonts w:ascii="Times New Roman" w:hAnsi="Times New Roman"/>
          <w:i/>
          <w:sz w:val="22"/>
        </w:rPr>
        <w:t>6-7</w:t>
      </w:r>
      <w:r>
        <w:rPr>
          <w:rFonts w:ascii="Times New Roman" w:hAnsi="Times New Roman"/>
          <w:sz w:val="22"/>
        </w:rPr>
        <w:t xml:space="preserve"> does is make vivid the boundary the tradition itself acknowledges through its marginal treatment of interjections and discourse markers. Meaning-based lexical theory is thus locally adequate but globally incomplete: it requires supplementation by a use-based conception of meaning (Wittgenstein; construction grammar), an expressive dimension (Kaplan; Potts), and a social-indexical dimension (Silverstein; Eckert). </w:t>
      </w:r>
      <w:r>
        <w:rPr>
          <w:rFonts w:ascii="Times New Roman" w:hAnsi="Times New Roman"/>
          <w:i/>
          <w:sz w:val="22"/>
        </w:rPr>
        <w:t>6-7</w:t>
      </w:r>
      <w:r>
        <w:rPr>
          <w:rFonts w:ascii="Times New Roman" w:hAnsi="Times New Roman"/>
          <w:sz w:val="22"/>
        </w:rPr>
        <w:t xml:space="preserve"> is valuable precisely because it is phatic-only—a near-pure specimen that isolates these dimensions from any confounding denotational content, as a controlled experiment isolates a variable.</w:t>
      </w:r>
    </w:p>
    <w:p>
      <w:pPr>
        <w:spacing w:before="160" w:after="40" w:line="240" w:lineRule="auto"/>
      </w:pPr>
      <w:r>
        <w:rPr>
          <w:rFonts w:ascii="Times New Roman" w:hAnsi="Times New Roman"/>
          <w:b/>
          <w:sz w:val="24"/>
        </w:rPr>
        <w:t>7.3 Limitations and open questions</w:t>
      </w:r>
    </w:p>
    <w:p>
      <w:pPr>
        <w:spacing w:before="0" w:after="120" w:line="240" w:lineRule="auto"/>
        <w:jc w:val="both"/>
      </w:pPr>
      <w:r>
        <w:rPr>
          <w:rFonts w:ascii="Times New Roman" w:hAnsi="Times New Roman"/>
          <w:sz w:val="22"/>
        </w:rPr>
        <w:t xml:space="preserve">Several caveats temper these conclusions. The phenomenon is recent and the academic literature on </w:t>
      </w:r>
      <w:r>
        <w:rPr>
          <w:rFonts w:ascii="Times New Roman" w:hAnsi="Times New Roman"/>
          <w:i/>
          <w:sz w:val="22"/>
        </w:rPr>
        <w:t>6-7</w:t>
      </w:r>
      <w:r>
        <w:rPr>
          <w:rFonts w:ascii="Times New Roman" w:hAnsi="Times New Roman"/>
          <w:sz w:val="22"/>
        </w:rPr>
        <w:t xml:space="preserve"> specifically is thin, so the analysis leans on expert commentary and the application of established theory. “Meaninglessness” is, moreover, a matter of degree: </w:t>
      </w:r>
      <w:r>
        <w:rPr>
          <w:rFonts w:ascii="Times New Roman" w:hAnsi="Times New Roman"/>
          <w:i/>
          <w:sz w:val="22"/>
        </w:rPr>
        <w:t>6-7</w:t>
      </w:r>
      <w:r>
        <w:rPr>
          <w:rFonts w:ascii="Times New Roman" w:hAnsi="Times New Roman"/>
          <w:sz w:val="22"/>
        </w:rPr>
        <w:t xml:space="preserve"> retains a faint indexical sense (so-so, ambivalence) and a robust social meaning, so claims that it means “nothing” should be read as “nothing </w:t>
      </w:r>
      <w:r>
        <w:rPr>
          <w:rFonts w:ascii="Times New Roman" w:hAnsi="Times New Roman"/>
          <w:i/>
          <w:sz w:val="22"/>
        </w:rPr>
        <w:t>denotational</w:t>
      </w:r>
      <w:r>
        <w:rPr>
          <w:rFonts w:ascii="Times New Roman" w:hAnsi="Times New Roman"/>
          <w:sz w:val="22"/>
        </w:rPr>
        <w:t xml:space="preserve">.” Phatic-only terms are characteristically ephemeral; whether </w:t>
      </w:r>
      <w:r>
        <w:rPr>
          <w:rFonts w:ascii="Times New Roman" w:hAnsi="Times New Roman"/>
          <w:i/>
          <w:sz w:val="22"/>
        </w:rPr>
        <w:t>6-7</w:t>
      </w:r>
      <w:r>
        <w:rPr>
          <w:rFonts w:ascii="Times New Roman" w:hAnsi="Times New Roman"/>
          <w:sz w:val="22"/>
        </w:rPr>
        <w:t xml:space="preserve"> lexicalises a stable sense, fades, or leaves a constructional residue is an open empirical question well suited to longitudinal corpus study.</w:t>
      </w:r>
    </w:p>
    <w:p>
      <w:pPr>
        <w:spacing w:before="240" w:after="80" w:line="240" w:lineRule="auto"/>
      </w:pPr>
      <w:r>
        <w:rPr>
          <w:rFonts w:ascii="Times New Roman" w:hAnsi="Times New Roman"/>
          <w:b/>
          <w:sz w:val="26"/>
        </w:rPr>
        <w:t>8. Conclusion</w:t>
      </w:r>
    </w:p>
    <w:p>
      <w:pPr>
        <w:spacing w:before="0" w:after="120" w:line="240" w:lineRule="auto"/>
        <w:jc w:val="both"/>
      </w:pPr>
      <w:r>
        <w:rPr>
          <w:rFonts w:ascii="Times New Roman" w:hAnsi="Times New Roman"/>
          <w:sz w:val="22"/>
        </w:rPr>
        <w:t xml:space="preserve">The “6-7” meme is a phatic-only slang term: an interjection whose communicative value is constituted almost entirely by social contact, in-group indexing, and affective performance, with denotational content bleached to near zero. Reviewed against meaning-based lexical theory, it does not collapse the referential and truth-conditional tradition so much as map that tradition’s edge—the same edge marked by interjections, expletives, and discourse particles. The most adequate accounts come from use-based, expressivist, and social-indexical frameworks, all of which permit “meaning” to be a conventionalised form–function pairing rather than a form–referent pairing. That a dictionary could name “impossible to define” as the defining feature of its Word of the Year is, read correctly, not a paradox but a precise empirical signal: the lexicon contains words whose meaning is their use, their stance, and their power to bond—and any theory that equates lexical meaning with reference will, at that boundary, run out of things to say exactly where </w:t>
      </w:r>
      <w:r>
        <w:rPr>
          <w:rFonts w:ascii="Times New Roman" w:hAnsi="Times New Roman"/>
          <w:i/>
          <w:sz w:val="22"/>
        </w:rPr>
        <w:t>6-7</w:t>
      </w:r>
      <w:r>
        <w:rPr>
          <w:rFonts w:ascii="Times New Roman" w:hAnsi="Times New Roman"/>
          <w:sz w:val="22"/>
        </w:rPr>
        <w:t xml:space="preserve"> begins.</w:t>
      </w:r>
    </w:p>
    <w:p>
      <w:pPr>
        <w:spacing w:before="240" w:after="80" w:line="240" w:lineRule="auto"/>
      </w:pPr>
      <w:r>
        <w:rPr>
          <w:rFonts w:ascii="Times New Roman" w:hAnsi="Times New Roman"/>
          <w:b/>
          <w:sz w:val="26"/>
        </w:rPr>
        <w:t>Declarations</w:t>
      </w:r>
    </w:p>
    <w:p>
      <w:pPr>
        <w:spacing w:before="0" w:after="80" w:line="240" w:lineRule="auto"/>
        <w:jc w:val="both"/>
      </w:pPr>
      <w:r>
        <w:rPr>
          <w:rFonts w:ascii="Times New Roman" w:hAnsi="Times New Roman"/>
          <w:b/>
          <w:sz w:val="20"/>
        </w:rPr>
        <w:t>Funding:</w:t>
      </w:r>
      <w:r>
        <w:rPr>
          <w:rFonts w:ascii="Times New Roman" w:hAnsi="Times New Roman"/>
          <w:sz w:val="20"/>
        </w:rPr>
        <w:t xml:space="preserve"> The author(s) received no specific funding for this work.</w:t>
      </w:r>
    </w:p>
    <w:p>
      <w:pPr>
        <w:spacing w:before="0" w:after="80" w:line="240" w:lineRule="auto"/>
        <w:jc w:val="both"/>
      </w:pPr>
      <w:r>
        <w:rPr>
          <w:rFonts w:ascii="Times New Roman" w:hAnsi="Times New Roman"/>
          <w:b/>
          <w:sz w:val="20"/>
        </w:rPr>
        <w:t>Conflicts of interest:</w:t>
      </w:r>
      <w:r>
        <w:rPr>
          <w:rFonts w:ascii="Times New Roman" w:hAnsi="Times New Roman"/>
          <w:sz w:val="20"/>
        </w:rPr>
        <w:t xml:space="preserve"> The author(s) declare no competing interests.</w:t>
      </w:r>
    </w:p>
    <w:p>
      <w:pPr>
        <w:spacing w:before="0" w:after="80" w:line="240" w:lineRule="auto"/>
        <w:jc w:val="both"/>
      </w:pPr>
      <w:r>
        <w:rPr>
          <w:rFonts w:ascii="Times New Roman" w:hAnsi="Times New Roman"/>
          <w:b/>
          <w:sz w:val="20"/>
        </w:rPr>
        <w:t>Data availability:</w:t>
      </w:r>
      <w:r>
        <w:rPr>
          <w:rFonts w:ascii="Times New Roman" w:hAnsi="Times New Roman"/>
          <w:sz w:val="20"/>
        </w:rPr>
        <w:t xml:space="preserve"> This review analyses publicly available published and web sources; no new datasets were generated or analysed.</w:t>
      </w:r>
    </w:p>
    <w:p>
      <w:pPr>
        <w:spacing w:before="0" w:after="80" w:line="240" w:lineRule="auto"/>
        <w:jc w:val="both"/>
      </w:pPr>
      <w:r>
        <w:rPr>
          <w:rFonts w:ascii="Times New Roman" w:hAnsi="Times New Roman"/>
          <w:b/>
          <w:sz w:val="20"/>
        </w:rPr>
        <w:t>Methodology and AI use:</w:t>
      </w:r>
      <w:r>
        <w:rPr>
          <w:rFonts w:ascii="Times New Roman" w:hAnsi="Times New Roman"/>
          <w:sz w:val="20"/>
        </w:rPr>
        <w:t xml:space="preserve"> Source discovery and a structured adversarial verification pass were conducted with AI-assisted web search; all claims were checked against cited sources, and the author(s) take responsibility for the final content.</w:t>
      </w:r>
    </w:p>
    <w:p>
      <w:pPr>
        <w:spacing w:before="240" w:after="80" w:line="240" w:lineRule="auto"/>
      </w:pPr>
      <w:r>
        <w:rPr>
          <w:rFonts w:ascii="Times New Roman" w:hAnsi="Times New Roman"/>
          <w:b/>
          <w:sz w:val="26"/>
        </w:rPr>
        <w:t>References</w:t>
      </w:r>
    </w:p>
    <w:p>
      <w:pPr>
        <w:spacing w:before="0" w:after="80" w:line="240" w:lineRule="auto"/>
        <w:ind w:left="720" w:hanging="720"/>
      </w:pPr>
      <w:r>
        <w:rPr>
          <w:rFonts w:ascii="Times New Roman" w:hAnsi="Times New Roman"/>
          <w:sz w:val="20"/>
        </w:rPr>
        <w:t xml:space="preserve">Bleacher Report. (n.d.). </w:t>
      </w:r>
      <w:r>
        <w:rPr>
          <w:rFonts w:ascii="Times New Roman" w:hAnsi="Times New Roman"/>
          <w:i/>
          <w:sz w:val="20"/>
        </w:rPr>
        <w:t>How NBA star LaMelo Ball accidentally sparked the TikTok “6-7” meme</w:t>
      </w:r>
      <w:r>
        <w:rPr>
          <w:rFonts w:ascii="Times New Roman" w:hAnsi="Times New Roman"/>
          <w:sz w:val="20"/>
        </w:rPr>
        <w:t xml:space="preserve">. </w:t>
      </w:r>
      <w:hyperlink r:id="rId13">
        <w:r>
          <w:rPr>
            <w:rFonts w:ascii="Times New Roman" w:hAnsi="Times New Roman"/>
            <w:sz w:val="20"/>
            <w:color w:val="0000FF"/>
            <w:u w:val="single"/>
          </w:rPr>
          <w:t xml:space="preserve">https://bleacherreport.com/articles/25240758-how-nba-star-lamelo-ball-accidentally-sparked-tiktok-6-7-meme</w:t>
        </w:r>
      </w:hyperlink>
    </w:p>
    <w:p>
      <w:pPr>
        <w:spacing w:before="0" w:after="80" w:line="240" w:lineRule="auto"/>
        <w:ind w:left="720" w:hanging="720"/>
      </w:pPr>
      <w:r>
        <w:rPr>
          <w:rFonts w:ascii="Times New Roman" w:hAnsi="Times New Roman"/>
          <w:sz w:val="20"/>
        </w:rPr>
        <w:t xml:space="preserve">Blakemore, D. (2002). </w:t>
      </w:r>
      <w:r>
        <w:rPr>
          <w:rFonts w:ascii="Times New Roman" w:hAnsi="Times New Roman"/>
          <w:i/>
          <w:sz w:val="20"/>
        </w:rPr>
        <w:t>Relevance and linguistic meaning: The semantics and pragmatics of discourse markers</w:t>
      </w:r>
      <w:r>
        <w:rPr>
          <w:rFonts w:ascii="Times New Roman" w:hAnsi="Times New Roman"/>
          <w:sz w:val="20"/>
        </w:rPr>
        <w:t>. Cambridge University Press.</w:t>
      </w:r>
    </w:p>
    <w:p>
      <w:pPr>
        <w:spacing w:before="0" w:after="80" w:line="240" w:lineRule="auto"/>
        <w:ind w:left="720" w:hanging="720"/>
      </w:pPr>
      <w:r>
        <w:rPr>
          <w:rFonts w:ascii="Times New Roman" w:hAnsi="Times New Roman"/>
          <w:sz w:val="20"/>
        </w:rPr>
        <w:t xml:space="preserve">CNN. (2025, October 18). </w:t>
      </w:r>
      <w:r>
        <w:rPr>
          <w:rFonts w:ascii="Times New Roman" w:hAnsi="Times New Roman"/>
          <w:i/>
          <w:sz w:val="20"/>
        </w:rPr>
        <w:t>The “6-7” meme can be annoying. Kids are shouting it for a reason</w:t>
      </w:r>
      <w:r>
        <w:rPr>
          <w:rFonts w:ascii="Times New Roman" w:hAnsi="Times New Roman"/>
          <w:sz w:val="20"/>
        </w:rPr>
        <w:t xml:space="preserve">. </w:t>
      </w:r>
      <w:hyperlink r:id="rId14">
        <w:r>
          <w:rPr>
            <w:rFonts w:ascii="Times New Roman" w:hAnsi="Times New Roman"/>
            <w:sz w:val="20"/>
            <w:color w:val="0000FF"/>
            <w:u w:val="single"/>
          </w:rPr>
          <w:t xml:space="preserve">https://www.cnn.com/2025/10/18/us/6-7-meme-slang-explained-cec</w:t>
        </w:r>
      </w:hyperlink>
    </w:p>
    <w:p>
      <w:pPr>
        <w:spacing w:before="0" w:after="80" w:line="240" w:lineRule="auto"/>
        <w:ind w:left="720" w:hanging="720"/>
      </w:pPr>
      <w:r>
        <w:rPr>
          <w:rFonts w:ascii="Times New Roman" w:hAnsi="Times New Roman"/>
          <w:sz w:val="20"/>
        </w:rPr>
        <w:t xml:space="preserve">Complex. (2025). </w:t>
      </w:r>
      <w:r>
        <w:rPr>
          <w:rFonts w:ascii="Times New Roman" w:hAnsi="Times New Roman"/>
          <w:i/>
          <w:sz w:val="20"/>
        </w:rPr>
        <w:t>Skrilla’s “6-7” meme, explained</w:t>
      </w:r>
      <w:r>
        <w:rPr>
          <w:rFonts w:ascii="Times New Roman" w:hAnsi="Times New Roman"/>
          <w:sz w:val="20"/>
        </w:rPr>
        <w:t xml:space="preserve">. </w:t>
      </w:r>
      <w:hyperlink r:id="rId15">
        <w:r>
          <w:rPr>
            <w:rFonts w:ascii="Times New Roman" w:hAnsi="Times New Roman"/>
            <w:sz w:val="20"/>
            <w:color w:val="0000FF"/>
            <w:u w:val="single"/>
          </w:rPr>
          <w:t xml:space="preserve">https://www.complex.com/music/a/khal/skrilla-6-7-meme-explained</w:t>
        </w:r>
      </w:hyperlink>
    </w:p>
    <w:p>
      <w:pPr>
        <w:spacing w:before="0" w:after="80" w:line="240" w:lineRule="auto"/>
        <w:ind w:left="720" w:hanging="720"/>
      </w:pPr>
      <w:r>
        <w:rPr>
          <w:rFonts w:ascii="Times New Roman" w:hAnsi="Times New Roman"/>
          <w:sz w:val="20"/>
        </w:rPr>
        <w:t xml:space="preserve">Davidson, D. (1967). Truth and meaning. </w:t>
      </w:r>
      <w:r>
        <w:rPr>
          <w:rFonts w:ascii="Times New Roman" w:hAnsi="Times New Roman"/>
          <w:i/>
          <w:sz w:val="20"/>
        </w:rPr>
        <w:t>Synthese, 17</w:t>
      </w:r>
      <w:r>
        <w:rPr>
          <w:rFonts w:ascii="Times New Roman" w:hAnsi="Times New Roman"/>
          <w:sz w:val="20"/>
        </w:rPr>
        <w:t xml:space="preserve">(3), 304–323. </w:t>
      </w:r>
      <w:hyperlink r:id="rId16">
        <w:r>
          <w:rPr>
            <w:rFonts w:ascii="Times New Roman" w:hAnsi="Times New Roman"/>
            <w:sz w:val="20"/>
            <w:color w:val="0000FF"/>
            <w:u w:val="single"/>
          </w:rPr>
          <w:t xml:space="preserve">https://doi.org/10.1007/BF00485035</w:t>
        </w:r>
      </w:hyperlink>
    </w:p>
    <w:p>
      <w:pPr>
        <w:spacing w:before="0" w:after="80" w:line="240" w:lineRule="auto"/>
        <w:ind w:left="720" w:hanging="720"/>
      </w:pPr>
      <w:r>
        <w:rPr>
          <w:rFonts w:ascii="Times New Roman" w:hAnsi="Times New Roman"/>
          <w:sz w:val="20"/>
        </w:rPr>
        <w:t xml:space="preserve">Dawkins, R. (1976). </w:t>
      </w:r>
      <w:r>
        <w:rPr>
          <w:rFonts w:ascii="Times New Roman" w:hAnsi="Times New Roman"/>
          <w:i/>
          <w:sz w:val="20"/>
        </w:rPr>
        <w:t>The selfish gene</w:t>
      </w:r>
      <w:r>
        <w:rPr>
          <w:rFonts w:ascii="Times New Roman" w:hAnsi="Times New Roman"/>
          <w:sz w:val="20"/>
        </w:rPr>
        <w:t>. Oxford University Press.</w:t>
      </w:r>
    </w:p>
    <w:p>
      <w:pPr>
        <w:spacing w:before="0" w:after="80" w:line="240" w:lineRule="auto"/>
        <w:ind w:left="720" w:hanging="720"/>
      </w:pPr>
      <w:r>
        <w:rPr>
          <w:rFonts w:ascii="Times New Roman" w:hAnsi="Times New Roman"/>
          <w:sz w:val="20"/>
        </w:rPr>
        <w:t xml:space="preserve">Dictionary.com. (2025, October 28). </w:t>
      </w:r>
      <w:r>
        <w:rPr>
          <w:rFonts w:ascii="Times New Roman" w:hAnsi="Times New Roman"/>
          <w:i/>
          <w:sz w:val="20"/>
        </w:rPr>
        <w:t>Dictionary.com’s 2025 word of the year is “67.”</w:t>
      </w:r>
      <w:r>
        <w:rPr>
          <w:rFonts w:ascii="Times New Roman" w:hAnsi="Times New Roman"/>
          <w:sz w:val="20"/>
        </w:rPr>
        <w:t xml:space="preserve"> </w:t>
      </w:r>
      <w:hyperlink r:id="rId17">
        <w:r>
          <w:rPr>
            <w:rFonts w:ascii="Times New Roman" w:hAnsi="Times New Roman"/>
            <w:sz w:val="20"/>
            <w:color w:val="0000FF"/>
            <w:u w:val="single"/>
          </w:rPr>
          <w:t xml:space="preserve">https://www.dictionary.com/articles/word-of-the-year-2025</w:t>
        </w:r>
      </w:hyperlink>
    </w:p>
    <w:p>
      <w:pPr>
        <w:spacing w:before="0" w:after="80" w:line="240" w:lineRule="auto"/>
        <w:ind w:left="720" w:hanging="720"/>
      </w:pPr>
      <w:r>
        <w:rPr>
          <w:rFonts w:ascii="Times New Roman" w:hAnsi="Times New Roman"/>
          <w:sz w:val="20"/>
        </w:rPr>
        <w:t xml:space="preserve">Eble, C. (1996). </w:t>
      </w:r>
      <w:r>
        <w:rPr>
          <w:rFonts w:ascii="Times New Roman" w:hAnsi="Times New Roman"/>
          <w:i/>
          <w:sz w:val="20"/>
        </w:rPr>
        <w:t>Slang and sociability: In-group language among college students</w:t>
      </w:r>
      <w:r>
        <w:rPr>
          <w:rFonts w:ascii="Times New Roman" w:hAnsi="Times New Roman"/>
          <w:sz w:val="20"/>
        </w:rPr>
        <w:t>. University of North Carolina Press.</w:t>
      </w:r>
    </w:p>
    <w:p>
      <w:pPr>
        <w:spacing w:before="0" w:after="80" w:line="240" w:lineRule="auto"/>
        <w:ind w:left="720" w:hanging="720"/>
      </w:pPr>
      <w:r>
        <w:rPr>
          <w:rFonts w:ascii="Times New Roman" w:hAnsi="Times New Roman"/>
          <w:sz w:val="20"/>
        </w:rPr>
        <w:t xml:space="preserve">Eckert, P. (2008). Variation and the indexical field. </w:t>
      </w:r>
      <w:r>
        <w:rPr>
          <w:rFonts w:ascii="Times New Roman" w:hAnsi="Times New Roman"/>
          <w:i/>
          <w:sz w:val="20"/>
        </w:rPr>
        <w:t>Journal of Sociolinguistics, 12</w:t>
      </w:r>
      <w:r>
        <w:rPr>
          <w:rFonts w:ascii="Times New Roman" w:hAnsi="Times New Roman"/>
          <w:sz w:val="20"/>
        </w:rPr>
        <w:t xml:space="preserve">(4), 453–476. </w:t>
      </w:r>
      <w:hyperlink r:id="rId18">
        <w:r>
          <w:rPr>
            <w:rFonts w:ascii="Times New Roman" w:hAnsi="Times New Roman"/>
            <w:sz w:val="20"/>
            <w:color w:val="0000FF"/>
            <w:u w:val="single"/>
          </w:rPr>
          <w:t xml:space="preserve">https://doi.org/10.1111/j.1467-9841.2008.00374.x</w:t>
        </w:r>
      </w:hyperlink>
    </w:p>
    <w:p>
      <w:pPr>
        <w:spacing w:before="0" w:after="80" w:line="240" w:lineRule="auto"/>
        <w:ind w:left="720" w:hanging="720"/>
      </w:pPr>
      <w:r>
        <w:rPr>
          <w:rFonts w:ascii="Times New Roman" w:hAnsi="Times New Roman"/>
          <w:sz w:val="20"/>
        </w:rPr>
        <w:t xml:space="preserve">Eckert, P. (2018). </w:t>
      </w:r>
      <w:r>
        <w:rPr>
          <w:rFonts w:ascii="Times New Roman" w:hAnsi="Times New Roman"/>
          <w:i/>
          <w:sz w:val="20"/>
        </w:rPr>
        <w:t>Meaning and linguistic variation: The third wave in sociolinguistics</w:t>
      </w:r>
      <w:r>
        <w:rPr>
          <w:rFonts w:ascii="Times New Roman" w:hAnsi="Times New Roman"/>
          <w:sz w:val="20"/>
        </w:rPr>
        <w:t>. Cambridge University Press.</w:t>
      </w:r>
    </w:p>
    <w:p>
      <w:pPr>
        <w:spacing w:before="0" w:after="80" w:line="240" w:lineRule="auto"/>
        <w:ind w:left="720" w:hanging="720"/>
      </w:pPr>
      <w:r>
        <w:rPr>
          <w:rFonts w:ascii="Times New Roman" w:hAnsi="Times New Roman"/>
          <w:sz w:val="20"/>
        </w:rPr>
        <w:t xml:space="preserve">Firth, J. R. (1957). A synopsis of linguistic theory, 1930–1955. In </w:t>
      </w:r>
      <w:r>
        <w:rPr>
          <w:rFonts w:ascii="Times New Roman" w:hAnsi="Times New Roman"/>
          <w:i/>
          <w:sz w:val="20"/>
        </w:rPr>
        <w:t>Studies in linguistic analysis</w:t>
      </w:r>
      <w:r>
        <w:rPr>
          <w:rFonts w:ascii="Times New Roman" w:hAnsi="Times New Roman"/>
          <w:sz w:val="20"/>
        </w:rPr>
        <w:t xml:space="preserve"> (pp. 1–32). Blackwell.</w:t>
      </w:r>
    </w:p>
    <w:p>
      <w:pPr>
        <w:spacing w:before="0" w:after="80" w:line="240" w:lineRule="auto"/>
        <w:ind w:left="720" w:hanging="720"/>
      </w:pPr>
      <w:r>
        <w:rPr>
          <w:rFonts w:ascii="Times New Roman" w:hAnsi="Times New Roman"/>
          <w:sz w:val="20"/>
        </w:rPr>
        <w:t xml:space="preserve">Frege, G. (1948). Sense and reference (M. Black, Trans.). </w:t>
      </w:r>
      <w:r>
        <w:rPr>
          <w:rFonts w:ascii="Times New Roman" w:hAnsi="Times New Roman"/>
          <w:i/>
          <w:sz w:val="20"/>
        </w:rPr>
        <w:t>The Philosophical Review, 57</w:t>
      </w:r>
      <w:r>
        <w:rPr>
          <w:rFonts w:ascii="Times New Roman" w:hAnsi="Times New Roman"/>
          <w:sz w:val="20"/>
        </w:rPr>
        <w:t xml:space="preserve">(3), 209–230. </w:t>
      </w:r>
      <w:hyperlink r:id="rId19">
        <w:r>
          <w:rPr>
            <w:rFonts w:ascii="Times New Roman" w:hAnsi="Times New Roman"/>
            <w:sz w:val="20"/>
            <w:color w:val="0000FF"/>
            <w:u w:val="single"/>
          </w:rPr>
          <w:t xml:space="preserve">https://doi.org/10.2307/2181485</w:t>
        </w:r>
      </w:hyperlink>
      <w:r>
        <w:rPr>
          <w:rFonts w:ascii="Times New Roman" w:hAnsi="Times New Roman"/>
          <w:sz w:val="20"/>
        </w:rPr>
        <w:t xml:space="preserve"> (Original work published 1892)</w:t>
      </w:r>
    </w:p>
    <w:p>
      <w:pPr>
        <w:spacing w:before="0" w:after="80" w:line="240" w:lineRule="auto"/>
        <w:ind w:left="720" w:hanging="720"/>
      </w:pPr>
      <w:r>
        <w:rPr>
          <w:rFonts w:ascii="Times New Roman" w:hAnsi="Times New Roman"/>
          <w:sz w:val="20"/>
        </w:rPr>
        <w:t xml:space="preserve">Fridland, V. (2026, April 15). Slanguage: How “6-7” makes sense even though it means nothing. </w:t>
      </w:r>
      <w:r>
        <w:rPr>
          <w:rFonts w:ascii="Times New Roman" w:hAnsi="Times New Roman"/>
          <w:i/>
          <w:sz w:val="20"/>
        </w:rPr>
        <w:t>The Conversation</w:t>
      </w:r>
      <w:r>
        <w:rPr>
          <w:rFonts w:ascii="Times New Roman" w:hAnsi="Times New Roman"/>
          <w:sz w:val="20"/>
        </w:rPr>
        <w:t xml:space="preserve">. </w:t>
      </w:r>
      <w:hyperlink r:id="rId20">
        <w:r>
          <w:rPr>
            <w:rFonts w:ascii="Times New Roman" w:hAnsi="Times New Roman"/>
            <w:sz w:val="20"/>
            <w:color w:val="0000FF"/>
            <w:u w:val="single"/>
          </w:rPr>
          <w:t xml:space="preserve">https://theconversation.com/slanguage-how-6-7-makes-sense-even-though-it-means-nothing-270006</w:t>
        </w:r>
      </w:hyperlink>
    </w:p>
    <w:p>
      <w:pPr>
        <w:spacing w:before="0" w:after="80" w:line="240" w:lineRule="auto"/>
        <w:ind w:left="720" w:hanging="720"/>
      </w:pPr>
      <w:r>
        <w:rPr>
          <w:rFonts w:ascii="Times New Roman" w:hAnsi="Times New Roman"/>
          <w:sz w:val="20"/>
        </w:rPr>
        <w:t xml:space="preserve">Georgetown University. (2025). </w:t>
      </w:r>
      <w:r>
        <w:rPr>
          <w:rFonts w:ascii="Times New Roman" w:hAnsi="Times New Roman"/>
          <w:i/>
          <w:sz w:val="20"/>
        </w:rPr>
        <w:t>Linguistics professor explains the “six-seven” meme</w:t>
      </w:r>
      <w:r>
        <w:rPr>
          <w:rFonts w:ascii="Times New Roman" w:hAnsi="Times New Roman"/>
          <w:sz w:val="20"/>
        </w:rPr>
        <w:t xml:space="preserve">. </w:t>
      </w:r>
      <w:hyperlink r:id="rId21">
        <w:r>
          <w:rPr>
            <w:rFonts w:ascii="Times New Roman" w:hAnsi="Times New Roman"/>
            <w:sz w:val="20"/>
            <w:color w:val="0000FF"/>
            <w:u w:val="single"/>
          </w:rPr>
          <w:t xml:space="preserve">https://www.georgetown.edu/news/six-seven-meme-linguistics/</w:t>
        </w:r>
      </w:hyperlink>
    </w:p>
    <w:p>
      <w:pPr>
        <w:spacing w:before="0" w:after="80" w:line="240" w:lineRule="auto"/>
        <w:ind w:left="720" w:hanging="720"/>
      </w:pPr>
      <w:r>
        <w:rPr>
          <w:rFonts w:ascii="Times New Roman" w:hAnsi="Times New Roman"/>
          <w:sz w:val="20"/>
        </w:rPr>
        <w:t xml:space="preserve">Goldberg, A. E. (1995). </w:t>
      </w:r>
      <w:r>
        <w:rPr>
          <w:rFonts w:ascii="Times New Roman" w:hAnsi="Times New Roman"/>
          <w:i/>
          <w:sz w:val="20"/>
        </w:rPr>
        <w:t>Constructions: A construction grammar approach to argument structure</w:t>
      </w:r>
      <w:r>
        <w:rPr>
          <w:rFonts w:ascii="Times New Roman" w:hAnsi="Times New Roman"/>
          <w:sz w:val="20"/>
        </w:rPr>
        <w:t>. University of Chicago Press.</w:t>
      </w:r>
    </w:p>
    <w:p>
      <w:pPr>
        <w:spacing w:before="0" w:after="80" w:line="240" w:lineRule="auto"/>
        <w:ind w:left="720" w:hanging="720"/>
      </w:pPr>
      <w:r>
        <w:rPr>
          <w:rFonts w:ascii="Times New Roman" w:hAnsi="Times New Roman"/>
          <w:sz w:val="20"/>
        </w:rPr>
        <w:t xml:space="preserve">Gutzmann, D. (2015). </w:t>
      </w:r>
      <w:r>
        <w:rPr>
          <w:rFonts w:ascii="Times New Roman" w:hAnsi="Times New Roman"/>
          <w:i/>
          <w:sz w:val="20"/>
        </w:rPr>
        <w:t>Use-conditional meaning: Studies in multidimensional semantics</w:t>
      </w:r>
      <w:r>
        <w:rPr>
          <w:rFonts w:ascii="Times New Roman" w:hAnsi="Times New Roman"/>
          <w:sz w:val="20"/>
        </w:rPr>
        <w:t>. Oxford University Press.</w:t>
      </w:r>
    </w:p>
    <w:p>
      <w:pPr>
        <w:spacing w:before="0" w:after="80" w:line="240" w:lineRule="auto"/>
        <w:ind w:left="720" w:hanging="720"/>
      </w:pPr>
      <w:r>
        <w:rPr>
          <w:rFonts w:ascii="Times New Roman" w:hAnsi="Times New Roman"/>
          <w:sz w:val="20"/>
        </w:rPr>
        <w:t xml:space="preserve">Halliday, M. A. K. (1976). Anti-languages. </w:t>
      </w:r>
      <w:r>
        <w:rPr>
          <w:rFonts w:ascii="Times New Roman" w:hAnsi="Times New Roman"/>
          <w:i/>
          <w:sz w:val="20"/>
        </w:rPr>
        <w:t>American Anthropologist, 78</w:t>
      </w:r>
      <w:r>
        <w:rPr>
          <w:rFonts w:ascii="Times New Roman" w:hAnsi="Times New Roman"/>
          <w:sz w:val="20"/>
        </w:rPr>
        <w:t xml:space="preserve">(3), 570–584. </w:t>
      </w:r>
      <w:hyperlink r:id="rId22">
        <w:r>
          <w:rPr>
            <w:rFonts w:ascii="Times New Roman" w:hAnsi="Times New Roman"/>
            <w:sz w:val="20"/>
            <w:color w:val="0000FF"/>
            <w:u w:val="single"/>
          </w:rPr>
          <w:t xml:space="preserve">https://doi.org/10.1525/aa.1976.78.3.02a00050</w:t>
        </w:r>
      </w:hyperlink>
    </w:p>
    <w:p>
      <w:pPr>
        <w:spacing w:before="0" w:after="80" w:line="240" w:lineRule="auto"/>
        <w:ind w:left="720" w:hanging="720"/>
      </w:pPr>
      <w:r>
        <w:rPr>
          <w:rFonts w:ascii="Times New Roman" w:hAnsi="Times New Roman"/>
          <w:sz w:val="20"/>
        </w:rPr>
        <w:t xml:space="preserve">IBTimes UK. (2025, November 25). </w:t>
      </w:r>
      <w:r>
        <w:rPr>
          <w:rFonts w:ascii="Times New Roman" w:hAnsi="Times New Roman"/>
          <w:i/>
          <w:sz w:val="20"/>
        </w:rPr>
        <w:t>Keir Starmer apologises after being told off by teacher for doing “6-7” meme during school visit</w:t>
      </w:r>
      <w:r>
        <w:rPr>
          <w:rFonts w:ascii="Times New Roman" w:hAnsi="Times New Roman"/>
          <w:sz w:val="20"/>
        </w:rPr>
        <w:t xml:space="preserve">. </w:t>
      </w:r>
      <w:hyperlink r:id="rId23">
        <w:r>
          <w:rPr>
            <w:rFonts w:ascii="Times New Roman" w:hAnsi="Times New Roman"/>
            <w:sz w:val="20"/>
            <w:color w:val="0000FF"/>
            <w:u w:val="single"/>
          </w:rPr>
          <w:t xml:space="preserve">https://www.ibtimes.co.uk/keir-starmer-apologises-after-being-told-off-teacher-doing-6-7-meme-during-school-visit-1757929</w:t>
        </w:r>
      </w:hyperlink>
    </w:p>
    <w:p>
      <w:pPr>
        <w:spacing w:before="0" w:after="80" w:line="240" w:lineRule="auto"/>
        <w:ind w:left="720" w:hanging="720"/>
      </w:pPr>
      <w:r>
        <w:rPr>
          <w:rFonts w:ascii="Times New Roman" w:hAnsi="Times New Roman"/>
          <w:sz w:val="20"/>
        </w:rPr>
        <w:t xml:space="preserve">Jakobson, R. (1960). Linguistics and poetics. In T. A. Sebeok (Ed.), </w:t>
      </w:r>
      <w:r>
        <w:rPr>
          <w:rFonts w:ascii="Times New Roman" w:hAnsi="Times New Roman"/>
          <w:i/>
          <w:sz w:val="20"/>
        </w:rPr>
        <w:t>Style in language</w:t>
      </w:r>
      <w:r>
        <w:rPr>
          <w:rFonts w:ascii="Times New Roman" w:hAnsi="Times New Roman"/>
          <w:sz w:val="20"/>
        </w:rPr>
        <w:t xml:space="preserve"> (pp. 350–377). MIT Press.</w:t>
      </w:r>
    </w:p>
    <w:p>
      <w:pPr>
        <w:spacing w:before="0" w:after="80" w:line="240" w:lineRule="auto"/>
        <w:ind w:left="720" w:hanging="720"/>
      </w:pPr>
      <w:r>
        <w:rPr>
          <w:rFonts w:ascii="Times New Roman" w:hAnsi="Times New Roman"/>
          <w:sz w:val="20"/>
        </w:rPr>
        <w:t xml:space="preserve">Jurafsky, D., &amp; Martin, J. H. (2023). Lexical semantics. In </w:t>
      </w:r>
      <w:r>
        <w:rPr>
          <w:rFonts w:ascii="Times New Roman" w:hAnsi="Times New Roman"/>
          <w:i/>
          <w:sz w:val="20"/>
        </w:rPr>
        <w:t>Speech and language processing</w:t>
      </w:r>
      <w:r>
        <w:rPr>
          <w:rFonts w:ascii="Times New Roman" w:hAnsi="Times New Roman"/>
          <w:sz w:val="20"/>
        </w:rPr>
        <w:t xml:space="preserve"> (3rd ed. draft, Chapter 19). </w:t>
      </w:r>
      <w:hyperlink r:id="rId24">
        <w:r>
          <w:rPr>
            <w:rFonts w:ascii="Times New Roman" w:hAnsi="Times New Roman"/>
            <w:sz w:val="20"/>
            <w:color w:val="0000FF"/>
            <w:u w:val="single"/>
          </w:rPr>
          <w:t xml:space="preserve">https://web.stanford.edu/class/linguist1/Rdgs/JM19.pdf</w:t>
        </w:r>
      </w:hyperlink>
    </w:p>
    <w:p>
      <w:pPr>
        <w:spacing w:before="0" w:after="80" w:line="240" w:lineRule="auto"/>
        <w:ind w:left="720" w:hanging="720"/>
      </w:pPr>
      <w:r>
        <w:rPr>
          <w:rFonts w:ascii="Times New Roman" w:hAnsi="Times New Roman"/>
          <w:sz w:val="20"/>
        </w:rPr>
        <w:t xml:space="preserve">Kaplan, D. (1999). </w:t>
      </w:r>
      <w:r>
        <w:rPr>
          <w:rFonts w:ascii="Times New Roman" w:hAnsi="Times New Roman"/>
          <w:i/>
          <w:sz w:val="20"/>
        </w:rPr>
        <w:t>The meaning of “ouch” and “oops”: Explorations in the theory of meaning as use</w:t>
      </w:r>
      <w:r>
        <w:rPr>
          <w:rFonts w:ascii="Times New Roman" w:hAnsi="Times New Roman"/>
          <w:sz w:val="20"/>
        </w:rPr>
        <w:t xml:space="preserve"> [Unpublished manuscript]. University of California, Los Angeles.</w:t>
      </w:r>
    </w:p>
    <w:p>
      <w:pPr>
        <w:spacing w:before="0" w:after="80" w:line="240" w:lineRule="auto"/>
        <w:ind w:left="720" w:hanging="720"/>
      </w:pPr>
      <w:r>
        <w:rPr>
          <w:rFonts w:ascii="Times New Roman" w:hAnsi="Times New Roman"/>
          <w:sz w:val="20"/>
        </w:rPr>
        <w:t xml:space="preserve">Malinowski, B. (1923). The problem of meaning in primitive languages. In C. K. Ogden &amp; I. A. Richards, </w:t>
      </w:r>
      <w:r>
        <w:rPr>
          <w:rFonts w:ascii="Times New Roman" w:hAnsi="Times New Roman"/>
          <w:i/>
          <w:sz w:val="20"/>
        </w:rPr>
        <w:t>The meaning of meaning</w:t>
      </w:r>
      <w:r>
        <w:rPr>
          <w:rFonts w:ascii="Times New Roman" w:hAnsi="Times New Roman"/>
          <w:sz w:val="20"/>
        </w:rPr>
        <w:t xml:space="preserve"> (pp. 296–336). Kegan Paul.</w:t>
      </w:r>
    </w:p>
    <w:p>
      <w:pPr>
        <w:spacing w:before="0" w:after="80" w:line="240" w:lineRule="auto"/>
        <w:ind w:left="720" w:hanging="720"/>
      </w:pPr>
      <w:r>
        <w:rPr>
          <w:rFonts w:ascii="Times New Roman" w:hAnsi="Times New Roman"/>
          <w:sz w:val="20"/>
        </w:rPr>
        <w:t xml:space="preserve">McCulloch, G. (2019). </w:t>
      </w:r>
      <w:r>
        <w:rPr>
          <w:rFonts w:ascii="Times New Roman" w:hAnsi="Times New Roman"/>
          <w:i/>
          <w:sz w:val="20"/>
        </w:rPr>
        <w:t>Because internet: Understanding the new rules of language</w:t>
      </w:r>
      <w:r>
        <w:rPr>
          <w:rFonts w:ascii="Times New Roman" w:hAnsi="Times New Roman"/>
          <w:sz w:val="20"/>
        </w:rPr>
        <w:t>. Riverhead Books.</w:t>
      </w:r>
    </w:p>
    <w:p>
      <w:pPr>
        <w:spacing w:before="0" w:after="80" w:line="240" w:lineRule="auto"/>
        <w:ind w:left="720" w:hanging="720"/>
      </w:pPr>
      <w:r>
        <w:rPr>
          <w:rFonts w:ascii="Times New Roman" w:hAnsi="Times New Roman"/>
          <w:sz w:val="20"/>
        </w:rPr>
        <w:t xml:space="preserve">Merriam-Webster. (n.d.). Six seven. In </w:t>
      </w:r>
      <w:r>
        <w:rPr>
          <w:rFonts w:ascii="Times New Roman" w:hAnsi="Times New Roman"/>
          <w:i/>
          <w:sz w:val="20"/>
        </w:rPr>
        <w:t>Merriam-Webster slang dictionary</w:t>
      </w:r>
      <w:r>
        <w:rPr>
          <w:rFonts w:ascii="Times New Roman" w:hAnsi="Times New Roman"/>
          <w:sz w:val="20"/>
        </w:rPr>
        <w:t xml:space="preserve">. Retrieved June 4, 2026, from </w:t>
      </w:r>
      <w:hyperlink r:id="rId25">
        <w:r>
          <w:rPr>
            <w:rFonts w:ascii="Times New Roman" w:hAnsi="Times New Roman"/>
            <w:sz w:val="20"/>
            <w:color w:val="0000FF"/>
            <w:u w:val="single"/>
          </w:rPr>
          <w:t xml:space="preserve">https://www.merriam-webster.com/slang/six-seven</w:t>
        </w:r>
      </w:hyperlink>
    </w:p>
    <w:p>
      <w:pPr>
        <w:spacing w:before="0" w:after="80" w:line="240" w:lineRule="auto"/>
        <w:ind w:left="720" w:hanging="720"/>
      </w:pPr>
      <w:r>
        <w:rPr>
          <w:rFonts w:ascii="Times New Roman" w:hAnsi="Times New Roman"/>
          <w:sz w:val="20"/>
        </w:rPr>
        <w:t xml:space="preserve">Miller, V. (2008). New media, networking and phatic culture. </w:t>
      </w:r>
      <w:r>
        <w:rPr>
          <w:rFonts w:ascii="Times New Roman" w:hAnsi="Times New Roman"/>
          <w:i/>
          <w:sz w:val="20"/>
        </w:rPr>
        <w:t>Convergence, 14</w:t>
      </w:r>
      <w:r>
        <w:rPr>
          <w:rFonts w:ascii="Times New Roman" w:hAnsi="Times New Roman"/>
          <w:sz w:val="20"/>
        </w:rPr>
        <w:t xml:space="preserve">(4), 387–400. </w:t>
      </w:r>
      <w:hyperlink r:id="rId26">
        <w:r>
          <w:rPr>
            <w:rFonts w:ascii="Times New Roman" w:hAnsi="Times New Roman"/>
            <w:sz w:val="20"/>
            <w:color w:val="0000FF"/>
            <w:u w:val="single"/>
          </w:rPr>
          <w:t xml:space="preserve">https://doi.org/10.1177/1354856508094659</w:t>
        </w:r>
      </w:hyperlink>
    </w:p>
    <w:p>
      <w:pPr>
        <w:spacing w:before="0" w:after="80" w:line="240" w:lineRule="auto"/>
        <w:ind w:left="720" w:hanging="720"/>
      </w:pPr>
      <w:r>
        <w:rPr>
          <w:rFonts w:ascii="Times New Roman" w:hAnsi="Times New Roman"/>
          <w:sz w:val="20"/>
        </w:rPr>
        <w:t xml:space="preserve">Oxford University Press. (2024). </w:t>
      </w:r>
      <w:r>
        <w:rPr>
          <w:rFonts w:ascii="Times New Roman" w:hAnsi="Times New Roman"/>
          <w:i/>
          <w:sz w:val="20"/>
        </w:rPr>
        <w:t>“Brain rot” named Oxford word of the year 2024</w:t>
      </w:r>
      <w:r>
        <w:rPr>
          <w:rFonts w:ascii="Times New Roman" w:hAnsi="Times New Roman"/>
          <w:sz w:val="20"/>
        </w:rPr>
        <w:t xml:space="preserve">. </w:t>
      </w:r>
      <w:hyperlink r:id="rId27">
        <w:r>
          <w:rPr>
            <w:rFonts w:ascii="Times New Roman" w:hAnsi="Times New Roman"/>
            <w:sz w:val="20"/>
            <w:color w:val="0000FF"/>
            <w:u w:val="single"/>
          </w:rPr>
          <w:t xml:space="preserve">https://corp.oup.com/news/brain-rot-named-oxford-word-of-the-year-2024/</w:t>
        </w:r>
      </w:hyperlink>
    </w:p>
    <w:p>
      <w:pPr>
        <w:spacing w:before="0" w:after="80" w:line="240" w:lineRule="auto"/>
        <w:ind w:left="720" w:hanging="720"/>
      </w:pPr>
      <w:r>
        <w:rPr>
          <w:rFonts w:ascii="Times New Roman" w:hAnsi="Times New Roman"/>
          <w:sz w:val="20"/>
        </w:rPr>
        <w:t xml:space="preserve">Potts, C. (2005). </w:t>
      </w:r>
      <w:r>
        <w:rPr>
          <w:rFonts w:ascii="Times New Roman" w:hAnsi="Times New Roman"/>
          <w:i/>
          <w:sz w:val="20"/>
        </w:rPr>
        <w:t>The logic of conventional implicatures</w:t>
      </w:r>
      <w:r>
        <w:rPr>
          <w:rFonts w:ascii="Times New Roman" w:hAnsi="Times New Roman"/>
          <w:sz w:val="20"/>
        </w:rPr>
        <w:t>. Oxford University Press.</w:t>
      </w:r>
    </w:p>
    <w:p>
      <w:pPr>
        <w:spacing w:before="0" w:after="80" w:line="240" w:lineRule="auto"/>
        <w:ind w:left="720" w:hanging="720"/>
      </w:pPr>
      <w:r>
        <w:rPr>
          <w:rFonts w:ascii="Times New Roman" w:hAnsi="Times New Roman"/>
          <w:sz w:val="20"/>
        </w:rPr>
        <w:t xml:space="preserve">Potts, C. (2007). The expressive dimension. </w:t>
      </w:r>
      <w:r>
        <w:rPr>
          <w:rFonts w:ascii="Times New Roman" w:hAnsi="Times New Roman"/>
          <w:i/>
          <w:sz w:val="20"/>
        </w:rPr>
        <w:t>Theoretical Linguistics, 33</w:t>
      </w:r>
      <w:r>
        <w:rPr>
          <w:rFonts w:ascii="Times New Roman" w:hAnsi="Times New Roman"/>
          <w:sz w:val="20"/>
        </w:rPr>
        <w:t xml:space="preserve">(2), 165–198. </w:t>
      </w:r>
      <w:hyperlink r:id="rId28">
        <w:r>
          <w:rPr>
            <w:rFonts w:ascii="Times New Roman" w:hAnsi="Times New Roman"/>
            <w:sz w:val="20"/>
            <w:color w:val="0000FF"/>
            <w:u w:val="single"/>
          </w:rPr>
          <w:t xml:space="preserve">https://doi.org/10.1515/TL.2007.011</w:t>
        </w:r>
      </w:hyperlink>
    </w:p>
    <w:p>
      <w:pPr>
        <w:spacing w:before="0" w:after="80" w:line="240" w:lineRule="auto"/>
        <w:ind w:left="720" w:hanging="720"/>
      </w:pPr>
      <w:r>
        <w:rPr>
          <w:rFonts w:ascii="Times New Roman" w:hAnsi="Times New Roman"/>
          <w:sz w:val="20"/>
        </w:rPr>
        <w:t xml:space="preserve">Silverstein, M. (2003). Indexical order and the dialectics of sociolinguistic life. </w:t>
      </w:r>
      <w:r>
        <w:rPr>
          <w:rFonts w:ascii="Times New Roman" w:hAnsi="Times New Roman"/>
          <w:i/>
          <w:sz w:val="20"/>
        </w:rPr>
        <w:t>Language &amp; Communication, 23</w:t>
      </w:r>
      <w:r>
        <w:rPr>
          <w:rFonts w:ascii="Times New Roman" w:hAnsi="Times New Roman"/>
          <w:sz w:val="20"/>
        </w:rPr>
        <w:t xml:space="preserve">(3–4), 193–229. </w:t>
      </w:r>
      <w:hyperlink r:id="rId29">
        <w:r>
          <w:rPr>
            <w:rFonts w:ascii="Times New Roman" w:hAnsi="Times New Roman"/>
            <w:sz w:val="20"/>
            <w:color w:val="0000FF"/>
            <w:u w:val="single"/>
          </w:rPr>
          <w:t xml:space="preserve">https://doi.org/10.1016/S0271-5309(03</w:t>
        </w:r>
      </w:hyperlink>
      <w:r>
        <w:rPr>
          <w:rFonts w:ascii="Times New Roman" w:hAnsi="Times New Roman"/>
          <w:sz w:val="20"/>
        </w:rPr>
        <w:t>)00013-2</w:t>
      </w:r>
    </w:p>
    <w:p>
      <w:pPr>
        <w:spacing w:before="0" w:after="80" w:line="240" w:lineRule="auto"/>
        <w:ind w:left="720" w:hanging="720"/>
      </w:pPr>
      <w:r>
        <w:rPr>
          <w:rFonts w:ascii="Times New Roman" w:hAnsi="Times New Roman"/>
          <w:sz w:val="20"/>
        </w:rPr>
        <w:t xml:space="preserve">Smithsonian Magazine. (2025, October 30). </w:t>
      </w:r>
      <w:r>
        <w:rPr>
          <w:rFonts w:ascii="Times New Roman" w:hAnsi="Times New Roman"/>
          <w:i/>
          <w:sz w:val="20"/>
        </w:rPr>
        <w:t>The term “67” is impossible to define. It just became Dictionary.com’s word of the year for 2025</w:t>
      </w:r>
      <w:r>
        <w:rPr>
          <w:rFonts w:ascii="Times New Roman" w:hAnsi="Times New Roman"/>
          <w:sz w:val="20"/>
        </w:rPr>
        <w:t xml:space="preserve">. </w:t>
      </w:r>
      <w:hyperlink r:id="rId30">
        <w:r>
          <w:rPr>
            <w:rFonts w:ascii="Times New Roman" w:hAnsi="Times New Roman"/>
            <w:sz w:val="20"/>
            <w:color w:val="0000FF"/>
            <w:u w:val="single"/>
          </w:rPr>
          <w:t xml:space="preserve">https://www.smithsonianmag.com/smart-news/the-term-67-is-impossible-to-define-it-just-became-dictionary-coms-word-of-the-year-for-2025-180987650/</w:t>
        </w:r>
      </w:hyperlink>
    </w:p>
    <w:p>
      <w:pPr>
        <w:spacing w:before="0" w:after="80" w:line="240" w:lineRule="auto"/>
        <w:ind w:left="720" w:hanging="720"/>
      </w:pPr>
      <w:r>
        <w:rPr>
          <w:rFonts w:ascii="Times New Roman" w:hAnsi="Times New Roman"/>
          <w:sz w:val="20"/>
        </w:rPr>
        <w:t xml:space="preserve">Stanford Encyclopedia of Philosophy. (n.d.). </w:t>
      </w:r>
      <w:r>
        <w:rPr>
          <w:rFonts w:ascii="Times New Roman" w:hAnsi="Times New Roman"/>
          <w:i/>
          <w:sz w:val="20"/>
        </w:rPr>
        <w:t>Word meaning</w:t>
      </w:r>
      <w:r>
        <w:rPr>
          <w:rFonts w:ascii="Times New Roman" w:hAnsi="Times New Roman"/>
          <w:sz w:val="20"/>
        </w:rPr>
        <w:t xml:space="preserve">. </w:t>
      </w:r>
      <w:hyperlink r:id="rId31">
        <w:r>
          <w:rPr>
            <w:rFonts w:ascii="Times New Roman" w:hAnsi="Times New Roman"/>
            <w:sz w:val="20"/>
            <w:color w:val="0000FF"/>
            <w:u w:val="single"/>
          </w:rPr>
          <w:t xml:space="preserve">https://plato.stanford.edu/entries/word-meaning/</w:t>
        </w:r>
      </w:hyperlink>
    </w:p>
    <w:p>
      <w:pPr>
        <w:spacing w:before="0" w:after="80" w:line="240" w:lineRule="auto"/>
        <w:ind w:left="720" w:hanging="720"/>
      </w:pPr>
      <w:r>
        <w:rPr>
          <w:rFonts w:ascii="Times New Roman" w:hAnsi="Times New Roman"/>
          <w:sz w:val="20"/>
        </w:rPr>
        <w:t xml:space="preserve">Today. (2024, June 27). </w:t>
      </w:r>
      <w:r>
        <w:rPr>
          <w:rFonts w:ascii="Times New Roman" w:hAnsi="Times New Roman"/>
          <w:i/>
          <w:sz w:val="20"/>
        </w:rPr>
        <w:t>What does “skibidi” mean?</w:t>
      </w:r>
      <w:r>
        <w:rPr>
          <w:rFonts w:ascii="Times New Roman" w:hAnsi="Times New Roman"/>
          <w:sz w:val="20"/>
        </w:rPr>
        <w:t xml:space="preserve"> </w:t>
      </w:r>
      <w:hyperlink r:id="rId32">
        <w:r>
          <w:rPr>
            <w:rFonts w:ascii="Times New Roman" w:hAnsi="Times New Roman"/>
            <w:sz w:val="20"/>
            <w:color w:val="0000FF"/>
            <w:u w:val="single"/>
          </w:rPr>
          <w:t xml:space="preserve">https://www.today.com/parents/teens/skibidi-slang-meaning-rcna153557</w:t>
        </w:r>
      </w:hyperlink>
    </w:p>
    <w:p>
      <w:pPr>
        <w:spacing w:before="0" w:after="80" w:line="240" w:lineRule="auto"/>
        <w:ind w:left="720" w:hanging="720"/>
      </w:pPr>
      <w:r>
        <w:rPr>
          <w:rFonts w:ascii="Times New Roman" w:hAnsi="Times New Roman"/>
          <w:sz w:val="20"/>
        </w:rPr>
        <w:t xml:space="preserve">University of Colorado Boulder. (2021, May 3). </w:t>
      </w:r>
      <w:r>
        <w:rPr>
          <w:rFonts w:ascii="Times New Roman" w:hAnsi="Times New Roman"/>
          <w:i/>
          <w:sz w:val="20"/>
        </w:rPr>
        <w:t>To “yeet” or not to “yeet”: African American slang beyond Vine</w:t>
      </w:r>
      <w:r>
        <w:rPr>
          <w:rFonts w:ascii="Times New Roman" w:hAnsi="Times New Roman"/>
          <w:sz w:val="20"/>
        </w:rPr>
        <w:t xml:space="preserve">. </w:t>
      </w:r>
      <w:hyperlink r:id="rId33">
        <w:r>
          <w:rPr>
            <w:rFonts w:ascii="Times New Roman" w:hAnsi="Times New Roman"/>
            <w:sz w:val="20"/>
            <w:color w:val="0000FF"/>
            <w:u w:val="single"/>
          </w:rPr>
          <w:t xml:space="preserve">https://www.colorado.edu/linguistics/2021/05/03/yeet-or-not-yeet-african-american-slang-beyond-vine</w:t>
        </w:r>
      </w:hyperlink>
    </w:p>
    <w:p>
      <w:pPr>
        <w:spacing w:before="0" w:after="80" w:line="240" w:lineRule="auto"/>
        <w:ind w:left="720" w:hanging="720"/>
      </w:pPr>
      <w:r>
        <w:rPr>
          <w:rFonts w:ascii="Times New Roman" w:hAnsi="Times New Roman"/>
          <w:sz w:val="20"/>
        </w:rPr>
        <w:t xml:space="preserve">WHYY. (2025). </w:t>
      </w:r>
      <w:r>
        <w:rPr>
          <w:rFonts w:ascii="Times New Roman" w:hAnsi="Times New Roman"/>
          <w:i/>
          <w:sz w:val="20"/>
        </w:rPr>
        <w:t>The meaning of “6-7” and its Philadelphia roots</w:t>
      </w:r>
      <w:r>
        <w:rPr>
          <w:rFonts w:ascii="Times New Roman" w:hAnsi="Times New Roman"/>
          <w:sz w:val="20"/>
        </w:rPr>
        <w:t xml:space="preserve">. </w:t>
      </w:r>
      <w:hyperlink r:id="rId34">
        <w:r>
          <w:rPr>
            <w:rFonts w:ascii="Times New Roman" w:hAnsi="Times New Roman"/>
            <w:sz w:val="20"/>
            <w:color w:val="0000FF"/>
            <w:u w:val="single"/>
          </w:rPr>
          <w:t xml:space="preserve">https://whyy.org/articles/meaning-6-7-skrilla-philadelphia/</w:t>
        </w:r>
      </w:hyperlink>
    </w:p>
    <w:p>
      <w:pPr>
        <w:spacing w:before="0" w:after="80" w:line="240" w:lineRule="auto"/>
        <w:ind w:left="720" w:hanging="720"/>
      </w:pPr>
      <w:r>
        <w:rPr>
          <w:rFonts w:ascii="Times New Roman" w:hAnsi="Times New Roman"/>
          <w:sz w:val="20"/>
        </w:rPr>
        <w:t xml:space="preserve">Wikipedia contributors. (n.d.-a). 6-7 (meme). In </w:t>
      </w:r>
      <w:r>
        <w:rPr>
          <w:rFonts w:ascii="Times New Roman" w:hAnsi="Times New Roman"/>
          <w:i/>
          <w:sz w:val="20"/>
        </w:rPr>
        <w:t>Wikipedia</w:t>
      </w:r>
      <w:r>
        <w:rPr>
          <w:rFonts w:ascii="Times New Roman" w:hAnsi="Times New Roman"/>
          <w:sz w:val="20"/>
        </w:rPr>
        <w:t xml:space="preserve">. Retrieved June 4, 2026, from </w:t>
      </w:r>
      <w:hyperlink r:id="rId35">
        <w:r>
          <w:rPr>
            <w:rFonts w:ascii="Times New Roman" w:hAnsi="Times New Roman"/>
            <w:sz w:val="20"/>
            <w:color w:val="0000FF"/>
            <w:u w:val="single"/>
          </w:rPr>
          <w:t xml:space="preserve">https://en.wikipedia.org/wiki/6-7_(meme</w:t>
        </w:r>
      </w:hyperlink>
      <w:r>
        <w:rPr>
          <w:rFonts w:ascii="Times New Roman" w:hAnsi="Times New Roman"/>
          <w:sz w:val="20"/>
        </w:rPr>
        <w:t>)</w:t>
      </w:r>
    </w:p>
    <w:p>
      <w:pPr>
        <w:spacing w:before="0" w:after="80" w:line="240" w:lineRule="auto"/>
        <w:ind w:left="720" w:hanging="720"/>
      </w:pPr>
      <w:r>
        <w:rPr>
          <w:rFonts w:ascii="Times New Roman" w:hAnsi="Times New Roman"/>
          <w:sz w:val="20"/>
        </w:rPr>
        <w:t xml:space="preserve">Wikipedia contributors. (n.d.-b). Doot doot (6 7). In </w:t>
      </w:r>
      <w:r>
        <w:rPr>
          <w:rFonts w:ascii="Times New Roman" w:hAnsi="Times New Roman"/>
          <w:i/>
          <w:sz w:val="20"/>
        </w:rPr>
        <w:t>Wikipedia</w:t>
      </w:r>
      <w:r>
        <w:rPr>
          <w:rFonts w:ascii="Times New Roman" w:hAnsi="Times New Roman"/>
          <w:sz w:val="20"/>
        </w:rPr>
        <w:t xml:space="preserve">. Retrieved June 4, 2026, from </w:t>
      </w:r>
      <w:hyperlink r:id="rId36">
        <w:r>
          <w:rPr>
            <w:rFonts w:ascii="Times New Roman" w:hAnsi="Times New Roman"/>
            <w:sz w:val="20"/>
            <w:color w:val="0000FF"/>
            <w:u w:val="single"/>
          </w:rPr>
          <w:t xml:space="preserve">https://en.wikipedia.org/wiki/Doot_Doot_(6_7</w:t>
        </w:r>
      </w:hyperlink>
      <w:r>
        <w:rPr>
          <w:rFonts w:ascii="Times New Roman" w:hAnsi="Times New Roman"/>
          <w:sz w:val="20"/>
        </w:rPr>
        <w:t>)</w:t>
      </w:r>
    </w:p>
    <w:p>
      <w:pPr>
        <w:spacing w:before="0" w:after="80" w:line="240" w:lineRule="auto"/>
        <w:ind w:left="720" w:hanging="720"/>
      </w:pPr>
      <w:r>
        <w:rPr>
          <w:rFonts w:ascii="Times New Roman" w:hAnsi="Times New Roman"/>
          <w:sz w:val="20"/>
        </w:rPr>
        <w:t xml:space="preserve">Wittgenstein, L. (1953). </w:t>
      </w:r>
      <w:r>
        <w:rPr>
          <w:rFonts w:ascii="Times New Roman" w:hAnsi="Times New Roman"/>
          <w:i/>
          <w:sz w:val="20"/>
        </w:rPr>
        <w:t>Philosophical investigations</w:t>
      </w:r>
      <w:r>
        <w:rPr>
          <w:rFonts w:ascii="Times New Roman" w:hAnsi="Times New Roman"/>
          <w:sz w:val="20"/>
        </w:rPr>
        <w:t xml:space="preserve"> (G. E. M. Anscombe, Trans.). Blackwell.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yperlink" Target="https://bleacherreport.com/articles/25240758-how-nba-star-lamelo-ball-accidentally-sparked-tiktok-6-7-meme" TargetMode="External"/><Relationship Id="rId14" Type="http://schemas.openxmlformats.org/officeDocument/2006/relationships/hyperlink" Target="https://www.cnn.com/2025/10/18/us/6-7-meme-slang-explained-cec" TargetMode="External"/><Relationship Id="rId15" Type="http://schemas.openxmlformats.org/officeDocument/2006/relationships/hyperlink" Target="https://www.complex.com/music/a/khal/skrilla-6-7-meme-explained" TargetMode="External"/><Relationship Id="rId16" Type="http://schemas.openxmlformats.org/officeDocument/2006/relationships/hyperlink" Target="https://doi.org/10.1007/BF00485035" TargetMode="External"/><Relationship Id="rId17" Type="http://schemas.openxmlformats.org/officeDocument/2006/relationships/hyperlink" Target="https://www.dictionary.com/articles/word-of-the-year-2025" TargetMode="External"/><Relationship Id="rId18" Type="http://schemas.openxmlformats.org/officeDocument/2006/relationships/hyperlink" Target="https://doi.org/10.1111/j.1467-9841.2008.00374.x" TargetMode="External"/><Relationship Id="rId19" Type="http://schemas.openxmlformats.org/officeDocument/2006/relationships/hyperlink" Target="https://doi.org/10.2307/2181485" TargetMode="External"/><Relationship Id="rId20" Type="http://schemas.openxmlformats.org/officeDocument/2006/relationships/hyperlink" Target="https://theconversation.com/slanguage-how-6-7-makes-sense-even-though-it-means-nothing-270006" TargetMode="External"/><Relationship Id="rId21" Type="http://schemas.openxmlformats.org/officeDocument/2006/relationships/hyperlink" Target="https://www.georgetown.edu/news/six-seven-meme-linguistics/" TargetMode="External"/><Relationship Id="rId22" Type="http://schemas.openxmlformats.org/officeDocument/2006/relationships/hyperlink" Target="https://doi.org/10.1525/aa.1976.78.3.02a00050" TargetMode="External"/><Relationship Id="rId23" Type="http://schemas.openxmlformats.org/officeDocument/2006/relationships/hyperlink" Target="https://www.ibtimes.co.uk/keir-starmer-apologises-after-being-told-off-teacher-doing-6-7-meme-during-school-visit-1757929" TargetMode="External"/><Relationship Id="rId24" Type="http://schemas.openxmlformats.org/officeDocument/2006/relationships/hyperlink" Target="https://web.stanford.edu/class/linguist1/Rdgs/JM19.pdf" TargetMode="External"/><Relationship Id="rId25" Type="http://schemas.openxmlformats.org/officeDocument/2006/relationships/hyperlink" Target="https://www.merriam-webster.com/slang/six-seven" TargetMode="External"/><Relationship Id="rId26" Type="http://schemas.openxmlformats.org/officeDocument/2006/relationships/hyperlink" Target="https://doi.org/10.1177/1354856508094659" TargetMode="External"/><Relationship Id="rId27" Type="http://schemas.openxmlformats.org/officeDocument/2006/relationships/hyperlink" Target="https://corp.oup.com/news/brain-rot-named-oxford-word-of-the-year-2024/" TargetMode="External"/><Relationship Id="rId28" Type="http://schemas.openxmlformats.org/officeDocument/2006/relationships/hyperlink" Target="https://doi.org/10.1515/TL.2007.011" TargetMode="External"/><Relationship Id="rId29" Type="http://schemas.openxmlformats.org/officeDocument/2006/relationships/hyperlink" Target="https://doi.org/10.1016/S0271-5309(03" TargetMode="External"/><Relationship Id="rId30" Type="http://schemas.openxmlformats.org/officeDocument/2006/relationships/hyperlink" Target="https://www.smithsonianmag.com/smart-news/the-term-67-is-impossible-to-define-it-just-became-dictionary-coms-word-of-the-year-for-2025-180987650/" TargetMode="External"/><Relationship Id="rId31" Type="http://schemas.openxmlformats.org/officeDocument/2006/relationships/hyperlink" Target="https://plato.stanford.edu/entries/word-meaning/" TargetMode="External"/><Relationship Id="rId32" Type="http://schemas.openxmlformats.org/officeDocument/2006/relationships/hyperlink" Target="https://www.today.com/parents/teens/skibidi-slang-meaning-rcna153557" TargetMode="External"/><Relationship Id="rId33" Type="http://schemas.openxmlformats.org/officeDocument/2006/relationships/hyperlink" Target="https://www.colorado.edu/linguistics/2021/05/03/yeet-or-not-yeet-african-american-slang-beyond-vine" TargetMode="External"/><Relationship Id="rId34" Type="http://schemas.openxmlformats.org/officeDocument/2006/relationships/hyperlink" Target="https://whyy.org/articles/meaning-6-7-skrilla-philadelphia/" TargetMode="External"/><Relationship Id="rId35" Type="http://schemas.openxmlformats.org/officeDocument/2006/relationships/hyperlink" Target="https://en.wikipedia.org/wiki/6-7_(meme" TargetMode="External"/><Relationship Id="rId36" Type="http://schemas.openxmlformats.org/officeDocument/2006/relationships/hyperlink" Target="https://en.wikipedia.org/wiki/Doot_Doot_(6_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