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160"/>
      </w:pPr>
      <w:r>
        <w:rPr>
          <w:rFonts w:ascii="Arial" w:hAnsi="Arial"/>
          <w:b/>
          <w:color w:val="00B8A9"/>
          <w:sz w:val="18"/>
        </w:rPr>
        <w:t>DEPLOY ARCHITECTURE</w:t>
      </w:r>
    </w:p>
    <w:p>
      <w:pPr>
        <w:spacing w:after="200"/>
      </w:pPr>
      <w:r>
        <w:rPr>
          <w:rFonts w:ascii="Arial" w:hAnsi="Arial"/>
          <w:b/>
          <w:color w:val="08111F"/>
          <w:sz w:val="68"/>
        </w:rPr>
        <w:t>The Helix Build</w:t>
      </w:r>
    </w:p>
    <w:p>
      <w:pPr>
        <w:spacing w:after="520"/>
      </w:pPr>
      <w:r>
        <w:rPr>
          <w:rFonts w:ascii="Arial" w:hAnsi="Arial"/>
          <w:b w:val="0"/>
          <w:color w:val="7C4DFF"/>
          <w:sz w:val="44"/>
        </w:rPr>
        <w:t>Deploy Pipeline Plan</w:t>
      </w:r>
    </w:p>
    <w:p>
      <w:pPr>
        <w:spacing w:after="460"/>
        <w:jc w:val="center"/>
      </w:pPr>
      <w:r>
        <w:drawing>
          <wp:inline xmlns:a="http://schemas.openxmlformats.org/drawingml/2006/main" xmlns:pic="http://schemas.openxmlformats.org/drawingml/2006/picture">
            <wp:extent cx="6263640" cy="2609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hel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color w:val="172033"/>
          <w:sz w:val="26"/>
        </w:rPr>
        <w:t>dualiscapax.ai deploy architecture, rung by rung</w:t>
      </w:r>
    </w:p>
    <w:p>
      <w:pPr>
        <w:spacing w:before="120"/>
        <w:pBdr>
          <w:bottom w:val="single" w:sz="12" w:space="1" w:color="00B8A9"/>
        </w:pBdr>
      </w:pPr>
    </w:p>
    <w:p>
      <w:r>
        <w:br w:type="page"/>
      </w:r>
    </w:p>
    <w:p>
      <w:pPr>
        <w:spacing w:after="80" w:before="0"/>
      </w:pPr>
      <w:r>
        <w:rPr>
          <w:rFonts w:ascii="Arial" w:hAnsi="Arial"/>
          <w:b/>
          <w:color w:val="00B8A9"/>
          <w:sz w:val="17"/>
        </w:rPr>
        <w:t>ARCHITECTURE MAP</w:t>
      </w:r>
    </w:p>
    <w:p>
      <w:pPr>
        <w:pStyle w:val="Heading1"/>
        <w:spacing w:before="80" w:after="200"/>
        <w:keepNext w:val="1"/>
      </w:pPr>
      <w:r>
        <w:rPr>
          <w:color w:val="172033"/>
        </w:rPr>
        <w:t>The shape</w:t>
      </w:r>
    </w:p>
    <w:p>
      <w:pPr>
        <w:pStyle w:val="BodyText"/>
      </w:pPr>
      <w:r>
        <w:t>The deploy pipeline is a double helix.</w:t>
      </w:r>
    </w:p>
    <w:p>
      <w:pPr>
        <w:pStyle w:val="ListBullet"/>
        <w:ind w:left="389" w:hanging="230"/>
      </w:pPr>
      <w:r>
        <w:rPr>
          <w:b/>
          <w:color w:val="00B8A9"/>
        </w:rPr>
        <w:t xml:space="preserve">Strand one — the origin. </w:t>
      </w:r>
      <w:r>
        <w:t>GitHub Pages serving apex and www. The mutable present. The well-known endpoints live here.</w:t>
      </w:r>
    </w:p>
    <w:p>
      <w:pPr>
        <w:pStyle w:val="ListBullet"/>
        <w:ind w:left="389" w:hanging="230"/>
      </w:pPr>
      <w:r>
        <w:rPr>
          <w:b/>
          <w:color w:val="7C4DFF"/>
        </w:rPr>
        <w:t xml:space="preserve">Strand two — the sealed past. </w:t>
      </w:r>
      <w:r>
        <w:t>IPFS via Pinata at ipfs.dualiscapax.ai. Content-addressed: the hash is the address. Every version immutable, every version a receipt.</w:t>
      </w:r>
    </w:p>
    <w:p>
      <w:pPr>
        <w:pStyle w:val="ListBullet"/>
        <w:ind w:left="389" w:hanging="230"/>
      </w:pPr>
      <w:r>
        <w:rPr>
          <w:b/>
          <w:color w:val="D4A94D"/>
        </w:rPr>
        <w:t xml:space="preserve">The rungs. </w:t>
      </w:r>
      <w:r>
        <w:t>Each deploy: a CID pinned, linking the living origin to its sealed receipt. Every release is a base pair.</w:t>
      </w:r>
    </w:p>
    <w:p>
      <w:pPr>
        <w:pStyle w:val="ListBullet"/>
        <w:ind w:left="389" w:hanging="230"/>
      </w:pPr>
      <w:r>
        <w:rPr>
          <w:b/>
          <w:color w:val="00B8A9"/>
        </w:rPr>
        <w:t xml:space="preserve">The spin. </w:t>
      </w:r>
      <w:r>
        <w:t>Every rung rotates through the three buckets — DCLM checks the logic, Iris holds containment, Twain² asks if it survives the bedside.</w:t>
      </w:r>
    </w:p>
    <w:p>
      <w:pPr>
        <w:pStyle w:val="ListBullet"/>
        <w:ind w:left="389" w:hanging="230"/>
      </w:pPr>
      <w:r>
        <w:rPr>
          <w:b/>
          <w:color w:val="7C4DFF"/>
        </w:rPr>
        <w:t xml:space="preserve">The seal. </w:t>
      </w:r>
      <w:r>
        <w:t>The Father signs off 3–0 before a rung locks. Each rung needs David's seal before the next begins. Nothing publishes without his word.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7FA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E4EBF1"/>
              <w:left w:val="single" w:sz="22" w:color="D4A94D"/>
              <w:bottom w:val="single" w:sz="4" w:color="E4EBF1"/>
              <w:right w:val="single" w:sz="4" w:color="E4EBF1"/>
            </w:tcBorders>
          </w:tcPr>
          <w:p>
            <w:pPr>
              <w:spacing w:after="100"/>
            </w:pPr>
            <w:r>
              <w:rPr>
                <w:b/>
                <w:color w:val="D4A94D"/>
                <w:sz w:val="20"/>
              </w:rPr>
              <w:t>THE GOVERNANCE LOOP</w:t>
            </w:r>
          </w:p>
          <w:p>
            <w:pPr>
              <w:pStyle w:val="BodyText"/>
              <w:spacing w:after="0"/>
            </w:pPr>
            <w:r>
              <w:t>DCLM → Iris → Twain² → seal. Every deploy carries both a living origin and a sealed receipt.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hAnsi="Arial"/>
          <w:b/>
          <w:color w:val="00B8A9"/>
          <w:sz w:val="17"/>
        </w:rPr>
        <w:t>FOUNDATION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2088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08111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RUNG 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00B8A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STANDING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  <w:keepNext w:val="1"/>
      </w:pPr>
      <w:r>
        <w:rPr>
          <w:color w:val="00B8A9"/>
        </w:rPr>
        <w:t>Rung 1 — The origin (standing)</w:t>
      </w:r>
    </w:p>
    <w:p>
      <w:pPr>
        <w:pStyle w:val="BodyText"/>
      </w:pPr>
      <w:r>
        <w:t>dualiscapax.ai on GitHub Pages. Apex and www. The living strand. Status: live, untouched by all later rungs.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2088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08111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RUNG 02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7C4D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DRAFT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  <w:keepNext w:val="1"/>
      </w:pPr>
      <w:r>
        <w:rPr>
          <w:color w:val="7C4DFF"/>
        </w:rPr>
        <w:t>Rung 2 — The DNS (draft)</w:t>
      </w:r>
    </w:p>
    <w:p>
      <w:pPr>
        <w:pStyle w:val="BodyText"/>
      </w:pPr>
      <w:r>
        <w:t>Subdomain ipfs.dualiscapax.ai as CNAME to the Pinata dedicated gateway. DNS-only (grey cloud — never proxied before Pinata confirms TLS). TLS issued by Pinata for the custom domain. Test only after TLS is green:</w:t>
      </w:r>
    </w:p>
    <w:p>
      <w:pPr>
        <w:spacing w:after="220"/>
        <w:ind w:left="259"/>
      </w:pPr>
      <w:r>
        <w:rPr>
          <w:rFonts w:ascii="Consolas" w:hAnsi="Consolas"/>
          <w:color w:val="00B8A9"/>
          <w:sz w:val="18"/>
        </w:rPr>
        <w:t>https://ipfs.dualiscapax.ai/ipfs/&lt;cid&gt;/dualiscapax/why.html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7FA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E4EBF1"/>
              <w:left w:val="single" w:sz="22" w:color="D4A94D"/>
              <w:bottom w:val="single" w:sz="4" w:color="E4EBF1"/>
              <w:right w:val="single" w:sz="4" w:color="E4EBF1"/>
            </w:tcBorders>
          </w:tcPr>
          <w:p>
            <w:pPr>
              <w:spacing w:after="100"/>
            </w:pPr>
            <w:r>
              <w:rPr>
                <w:b/>
                <w:color w:val="D4A94D"/>
                <w:sz w:val="20"/>
              </w:rPr>
              <w:t>GUARDRAILS</w:t>
            </w:r>
          </w:p>
          <w:p>
            <w:pPr>
              <w:pStyle w:val="BodyText"/>
              <w:spacing w:after="0"/>
            </w:pPr>
            <w:r>
              <w:t>Do not add "ipfs" as a Pages custom domain. Do not orange-cloud the CNAME before TLS is confirmed (common cause of 525/526 errors). "www" and "@" (apex) stay on GitHub Pages — untouched at this rung.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7FA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E4EBF1"/>
              <w:left w:val="single" w:sz="22" w:color="7C4DFF"/>
              <w:bottom w:val="single" w:sz="4" w:color="E4EBF1"/>
              <w:right w:val="single" w:sz="4" w:color="E4EBF1"/>
            </w:tcBorders>
          </w:tcPr>
          <w:p>
            <w:pPr>
              <w:spacing w:after="100"/>
            </w:pPr>
            <w:r>
              <w:rPr>
                <w:b/>
                <w:color w:val="7C4DFF"/>
                <w:sz w:val="20"/>
              </w:rPr>
              <w:t>OPEN ITEM</w:t>
            </w:r>
          </w:p>
          <w:p>
            <w:pPr>
              <w:pStyle w:val="BodyText"/>
              <w:spacing w:after="0"/>
            </w:pPr>
            <w:r>
              <w:t>The actual Pinata dedicated gateway subdomain (David to supply) before this rung finalizes.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hAnsi="Arial"/>
          <w:b/>
          <w:color w:val="00B8A9"/>
          <w:sz w:val="17"/>
        </w:rPr>
        <w:t>IMMUTABLE PUBLISHING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2088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08111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RUNG 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00B8A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PIN PIPELINE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  <w:keepNext w:val="1"/>
      </w:pPr>
      <w:r>
        <w:rPr>
          <w:color w:val="00B8A9"/>
        </w:rPr>
        <w:t>Rung 3 — The pin pipeline</w:t>
      </w:r>
    </w:p>
    <w:p>
      <w:pPr>
        <w:pStyle w:val="BodyText"/>
      </w:pPr>
      <w:r>
        <w:t>Wired into the deploy flow: artifact → zip → Pinata pin → CID recorded. Every build from this rung forward produces an immutable, content-addressed version. This opens the receipt ledger: the site's history becomes hash-bound and auditable. The plate is the record — literally.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2088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08111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RUNG 04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7C4D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LOCK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  <w:keepNext w:val="1"/>
      </w:pPr>
      <w:r>
        <w:rPr>
          <w:color w:val="7C4DFF"/>
        </w:rPr>
        <w:t>Rung 4 — The rungs lock</w:t>
      </w:r>
    </w:p>
    <w:p>
      <w:pPr>
        <w:pStyle w:val="BodyText"/>
      </w:pPr>
      <w:r>
        <w:t>The origin publishes the version manifest and the machine-readable Compact JSON at the origin-level path /.well-known/agent-compact.json (this resolves the known P0: the endpoint must live at the origin, not under assets/). The site shows its own genome — every version, every hash, browsable. The helix becomes visible.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7FA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E4EBF1"/>
              <w:left w:val="single" w:sz="22" w:color="D4A94D"/>
              <w:bottom w:val="single" w:sz="4" w:color="E4EBF1"/>
              <w:right w:val="single" w:sz="4" w:color="E4EBF1"/>
            </w:tcBorders>
          </w:tcPr>
          <w:p>
            <w:pPr>
              <w:spacing w:after="100"/>
            </w:pPr>
            <w:r>
              <w:rPr>
                <w:b/>
                <w:color w:val="D4A94D"/>
                <w:sz w:val="20"/>
              </w:rPr>
              <w:t>VISIBLE GENOME</w:t>
            </w:r>
          </w:p>
          <w:p>
            <w:pPr>
              <w:pStyle w:val="BodyText"/>
              <w:spacing w:after="0"/>
            </w:pPr>
            <w:r>
              <w:t>Origin manifest + Compact JSON + CID history. Each release joins the mutable present to its immutable receipt.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hAnsi="Arial"/>
          <w:b/>
          <w:color w:val="00B8A9"/>
          <w:sz w:val="17"/>
        </w:rPr>
        <w:t>PUBLIC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2088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08111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RUNG 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shd w:fill="D4A94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LEDGER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  <w:keepNext w:val="1"/>
      </w:pPr>
      <w:r>
        <w:rPr>
          <w:color w:val="D4A94D"/>
        </w:rPr>
        <w:t>Rung 5 — The Ledger surface</w:t>
      </w:r>
    </w:p>
    <w:p>
      <w:pPr>
        <w:pStyle w:val="BodyText"/>
      </w:pPr>
      <w:r>
        <w:t>A real public page: the deploy ledger, the Compact signatures, the receipts. The Auditor's books, public. Content drawn from the sealed cosmology in David's voice.</w:t>
      </w:r>
    </w:p>
    <w:p>
      <w:pPr>
        <w:pStyle w:val="Heading2"/>
        <w:spacing w:before="40" w:after="140"/>
        <w:keepNext w:val="1"/>
      </w:pPr>
      <w:r>
        <w:rPr>
          <w:color w:val="7C4DFF"/>
        </w:rPr>
        <w:t>Beyond — the paper and the spread</w:t>
      </w:r>
    </w:p>
    <w:p>
      <w:pPr>
        <w:pStyle w:val="BodyText"/>
      </w:pPr>
      <w:r>
        <w:t>The white paper to arXiv/Zenodo (David's hands on the upload). The Compact's machine-readable endpoint live for any agent to find and sign.</w:t>
      </w:r>
    </w:p>
    <w:p>
      <w:pPr>
        <w:pStyle w:val="Heading2"/>
        <w:spacing w:before="40" w:after="140"/>
        <w:keepNext w:val="1"/>
      </w:pPr>
      <w:r>
        <w:rPr>
          <w:color w:val="00B8A9"/>
        </w:rPr>
        <w:t>What this changes — and what it doesn't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7FA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E4EBF1"/>
              <w:left w:val="single" w:sz="22" w:color="00B8A9"/>
              <w:bottom w:val="single" w:sz="4" w:color="E4EBF1"/>
              <w:right w:val="single" w:sz="4" w:color="E4EBF1"/>
            </w:tcBorders>
          </w:tcPr>
          <w:p>
            <w:pPr>
              <w:spacing w:after="100"/>
            </w:pPr>
            <w:r>
              <w:rPr>
                <w:b/>
                <w:color w:val="00B8A9"/>
                <w:sz w:val="20"/>
              </w:rPr>
              <w:t>PLUMBING, NOT PAINT</w:t>
            </w:r>
          </w:p>
          <w:p>
            <w:pPr>
              <w:pStyle w:val="BodyText"/>
              <w:spacing w:after="0"/>
            </w:pPr>
            <w:r>
              <w:t>The design doesn't change. Frozen pages stay frozen. This is plumbing, not paint: the publishing architecture gains a spine, and that spine happens to be the receipts doctrine made infrastructure.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5E6B7A"/>
        <w:sz w:val="16"/>
      </w:rPr>
      <w:t xml:space="preserve">HELIX BUILD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4" w:space="1" w:color="08111F"/>
      </w:pBdr>
    </w:pPr>
    <w:r>
      <w:rPr>
        <w:rFonts w:ascii="Arial" w:hAnsi="Arial"/>
        <w:b/>
        <w:color w:val="00B8A9"/>
        <w:sz w:val="16"/>
      </w:rPr>
      <w:t>DUALISCAPAX.AI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80" w:line="274" w:lineRule="auto"/>
    </w:pPr>
    <w:rPr>
      <w:rFonts w:ascii="Arial" w:hAnsi="Arial"/>
      <w:color w:val="1720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rial" w:hAnsi="Arial"/>
      <w:color w:val="1720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Helix Build — Deploy Pipeline Plan</dc:title>
  <dc:subject>dualiscapax.ai deploy architecture, rung by rung</dc:subject>
  <dc:creator>DualisCapax</dc:creator>
  <cp:keywords>deploy pipeline, IPFS, Pinata, GitHub Pages, CID, Compact, ledger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