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36.0"/>
        </w:rPr>
        <w:t xml:space="preserve">Digerati Experts, LLC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44.0"/>
        </w:rPr>
        <w:t xml:space="preserve">STATEMENT OF WORK (SOW)</w:t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sz w:val="24.0"/>
        </w:rPr>
        <w:t xml:space="preserve">DE Network Integration &amp; Advanced Networking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5439213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Prepared For: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Prepared By: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Version: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v2026.1 (January 02, 2026)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(Client):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«Client Contact Name / Title / Email / Phone»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(Digerati):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admin@digerati-experts.com | (480) 519-5892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SOW Details</w:t>
      </w:r>
    </w:p>
    <w:tbl>
      <w:tblPr>
        <w:tblStyle w:val="4312398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Field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Value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Number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NET-001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Term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«Initial Term / Month-to-Month / Multi-Year»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Governing Agreement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Master Services Agreement (MSA) between Client and Digerati Experts, LLC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1. Service 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Digerati Experts will manage network security and connectivity services including firewall/VPN/Wi‑Fi management, segmentation and access policies, and (where selected) network modernization via overlay/SASE and support for existing hardware during transition.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2. Scope of Services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security platform: policy configuration, monitoring, VPN/remote access, and secure Wi‑Fi standards.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SASE/ZTNA (optional / included by tier where applicable): identity-aware access and segmentation for remote users and SaaS apps.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integration option: modernization for existing hardware without rip-and-replace; transitional support for Meraki/Cisco/SonicWall/UniFi.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Documentation: network diagrams, asset inventory, and standard configuration baselines.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Lifecycle planning and end-of-life recommendations.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3. Deliverables &amp;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diagram(s) and configuration summary (updated upon material changes).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Remote access and access control policy documentation.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4. Client Responsibilities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provides access to network gear and ISP account information.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approves maintenance windows for changes/cutovers.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5. Exclusions / Out of Scope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ISP outages outside Digerati control.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Cabling/construction/electrical work unless separately quoted.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6. Term, Changes, and Acceptance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SOW begins on the Effective Date and continues for the selected term. Hardware purchases are separate unless explicitly included.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6.1 Acceptance Criteria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policies deployed and validated; remote access verified for designated users.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documentation delivered within «X» days after stabilization.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7. Pricing &amp; Payment Terms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Pricing for this SOW is based on users, endpoints, sites, and selected options. Fill in the fields below for this engagement.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Per-User Monthly Network / Integration Fee: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One-Time Network Integration Fee (if applicable):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Managed Firewall/Wi‑Fi Fee (per site):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SASE/ZTNA Included? (Yes/No):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Covered Sites / Networks: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Unless otherwise stated, invoices are issued monthly in advance and are due per the MSA and applicable invoice terms.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Guarantees and Service Credits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Client selected any optional guarantees on the Order Form, those guarantees apply to Covered Services under this SOW only as described in Exhibit G of the MSA and the Service Credit Schedule in Exhibit A (SLA).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Signatures</w:t>
      </w:r>
    </w:p>
    <w:tbl>
      <w:tblPr>
        <w:tblStyle w:val="8713721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Signature: </w:t>
            </w:r>
            <w:r w:rsidR="00000000" w:rsidDel="00000000" w:rsidRPr="00000000">
              <w:rPr/>
              <w:t xml:space="preserve">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Printed Name: </w:t>
            </w:r>
            <w:r w:rsidR="00000000" w:rsidDel="00000000" w:rsidRPr="00000000">
              <w:rPr>
                <w:shd w:fill="FEFF00" w:val="clear" w:color="auto"/>
              </w:rPr>
              <w:t xml:space="preserve">«Client Signatory Name»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Title: </w:t>
            </w:r>
            <w:r w:rsidR="00000000" w:rsidDel="00000000" w:rsidRPr="00000000">
              <w:rPr>
                <w:shd w:fill="FEFF00" w:val="clear" w:color="auto"/>
              </w:rPr>
              <w:t xml:space="preserve">«Client Signatory Title»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Date: </w:t>
            </w:r>
            <w:r w:rsidR="00000000" w:rsidDel="00000000" w:rsidRPr="00000000">
              <w:rPr>
                <w:shd w:fill="FEFF00" w:val="clear" w:color="auto"/>
              </w:rPr>
              <w:t xml:space="preserve">«Date»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Signature: </w:t>
            </w:r>
            <w:r w:rsidR="00000000" w:rsidDel="00000000" w:rsidRPr="00000000">
              <w:rPr/>
              <w:t xml:space="preserve">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Printed Name: </w:t>
            </w:r>
            <w:r w:rsidR="00000000" w:rsidDel="00000000" w:rsidRPr="00000000">
              <w:rPr/>
              <w:t xml:space="preserve">Joseph Petro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Title: </w:t>
            </w:r>
            <w:r w:rsidR="00000000" w:rsidDel="00000000" w:rsidRPr="00000000">
              <w:rPr/>
              <w:t xml:space="preserve">Owner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Date: </w:t>
            </w:r>
            <w:r w:rsidR="00000000" w:rsidDel="00000000" w:rsidRPr="00000000">
              <w:rPr>
                <w:shd w:fill="FEFF00" w:val="clear" w:color="auto"/>
              </w:rPr>
              <w:t xml:space="preserve">«Date»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2bdbc562-42e7-a7e8-bd12-00c537a87534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libri" w:eastAsia="Calibri" w:hAnsi="Calibri" w:cs="Calibri"/>
      <w:sz w:val="22"/>
    </w:rPr>
    <w:aliases w:val="Normal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32"/>
    </w:rPr>
    <w:aliases w:val="heading 1"/>
    <w:unhideWhenUsed/>
    <w:qFormat/>
  </w:style>
  <w:style w:type="paragraph" w:styleId="macro">
    <w:name w:val="macro"/>
    <w:uiPriority w:val="1"/>
    <w:next w:val="macro"/>
    <w:pPr>
      <w:spacing w:line="275.9999942779541" w:lineRule="auto" w:after="200.0"/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4"/>
    </w:rPr>
    <w:aliases w:val="heading 3"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="Cambria" w:eastAsia="Cambria" w:hAnsi="Cambria" w:cs="Cambria"/>
      <w:sz w:val="22"/>
    </w:rPr>
    <w:aliases w:val="No Spacing"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543921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312398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8713721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2bdbc562-42e7-a7e8-bd12-00c537a87534" Target="fonts/Arimo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