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Digerati Experts, LLC</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44.0"/>
        </w:rPr>
        <w:t xml:space="preserve">STATEMENT OF WORK (SOW)</w:t>
      </w:r>
    </w:p>
    <w:p xmlns:w14="http://schemas.microsoft.com/office/word/2010/wordml" w:rsidR="00000000" w:rsidRDefault="00000000" w14:textId="00000000" w:rsidDel="00000000" w:rsidP="00000000" w:rsidRPr="00000000">
      <w:pPr>
        <w:jc w:val="center"/>
        <w:widowControl w:val="1"/>
      </w:pPr>
      <w:r w:rsidR="00000000" w:rsidDel="00000000" w:rsidRPr="00000000">
        <w:rPr>
          <w:sz w:val="24.0"/>
        </w:rPr>
        <w:t xml:space="preserve">DE vCIO Services</w:t>
      </w:r>
    </w:p>
    <w:p xmlns:w14="http://schemas.microsoft.com/office/word/2010/wordml" w:rsidR="00000000" w:rsidRDefault="00000000" w14:textId="00000000" w:rsidDel="00000000" w:rsidP="00000000" w:rsidRPr="00000000">
      <w:pPr>
        <w:widowControl w:val="1"/>
      </w:pPr>
    </w:p>
    <w:tbl>
      <w:tblPr>
        <w:tblStyle w:val="8672286"/>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For: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By:</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Version:</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v2026.1 (January 02, 2026)</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Contact Name / Title /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(Digerati):</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admin@digerati-experts.com | (480) 519-5892</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SOW Details</w:t>
      </w:r>
    </w:p>
    <w:tbl>
      <w:tblPr>
        <w:tblStyle w:val="4177343"/>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Field</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Value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SOW Number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VCIO-001</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Term</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«Initial Term / Month-to-Month / Multi-Year»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Governing Agreement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Master Services Agreement (MSA) between Client and Digerati Experts, LLC</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Service 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will provide virtual CIO (vCIO) strategic leadership to align technology with Client’s business goals, optimize costs, manage vendors, and maintain an actionable roadmap. Engagement cadence scales by service tier (annual in Office, quarterly in Business, monthly in Enterprise).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Scope of Services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Technology business reviews (TBR/QBR) with executive-ready reporting and KPIs.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Strategic IT roadmap (12–36 months) with prioritized initiatives and updates per cadence.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Budgeting and financial planning: annual budget planning and quarterly true-ups (tier dependent).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Cost optimization: license rightsizing, vendor consolidation, renewal planning.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Vendor governance: performance reviews, escalations, and selection assistance.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Security/compliance coordination with Security or Compliance SOWs where applicable.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Deliverables &amp; Reporting</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Executive summary report for each review cadence (Annual/Quarterly/Monthly per tier).</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Living IT roadmap updates per cadence.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Budget vs actual review outputs and optimization recommendations.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Client Responsibilities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Client leadership participates in scheduled reviews and provides relevant business context.</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Client provides visibility into vendor contracts, licensing, and IT spend.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Exclusions / Out of Scope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Hands-on engineering work unless included under a separate SOW (Core IT, Network, Security, Projects).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Formal compliance attestation/certification unless under a Compliance SOW.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Term, Changes, and Acceptance</w:t>
      </w:r>
    </w:p>
    <w:p xmlns:w14="http://schemas.microsoft.com/office/word/2010/wordml" w:rsidR="00000000" w:rsidRDefault="00000000" w14:textId="00000000" w:rsidDel="00000000" w:rsidP="00000000" w:rsidRPr="00000000">
      <w:pPr>
        <w:widowControl w:val="1"/>
      </w:pPr>
      <w:r w:rsidR="00000000" w:rsidDel="00000000" w:rsidRPr="00000000">
        <w:rPr/>
        <w:t xml:space="preserve">This SOW begins on the Effective Date and continues for the selected term. Changes require a written change order.</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6.1 Acceptance Criteria</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Kickoff held and baseline roadmap delivered within «X» days.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First review delivered on the agreed cadence.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Pricing &amp; Payment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Pricing for this SOW is based on users, endpoints, sites, and selected options. Fill in the fields below for this engagement.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Tier (Office / Business / Enterprise):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Review Cadence (Annual / Quarterly / Monthly):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Monthly vCIO Fee (if separate from tier bundle):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Covered Sites / Departments: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t xml:space="preserve">Unless otherwise stated, invoices are issued monthly in advance and are due per the MSA and applicable invoice terms.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Signatures</w:t>
      </w:r>
    </w:p>
    <w:tbl>
      <w:tblPr>
        <w:tblStyle w:val="1563962"/>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shd w:fill="FEFF00" w:val="clear" w:color="auto"/>
              </w:rPr>
              <w:t xml:space="preserve">«Client Signatory Name»</w:t>
            </w:r>
            <w:r w:rsidR="00000000" w:rsidDel="00000000" w:rsidRPr="00000000">
              <w:br w:type="line"/>
            </w:r>
            <w:r w:rsidR="00000000" w:rsidDel="00000000" w:rsidRPr="00000000">
              <w:rPr>
                <w:b w:val="true"/>
              </w:rPr>
              <w:t xml:space="preserve">Title: </w:t>
            </w:r>
            <w:r w:rsidR="00000000" w:rsidDel="00000000" w:rsidRPr="00000000">
              <w:rPr>
                <w:shd w:fill="FEFF00" w:val="clear" w:color="auto"/>
              </w:rPr>
              <w:t xml:space="preserve">«Client Signatory Title»</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t xml:space="preserve">Joseph Petro</w:t>
            </w:r>
            <w:r w:rsidR="00000000" w:rsidDel="00000000" w:rsidRPr="00000000">
              <w:br w:type="line"/>
            </w:r>
            <w:r w:rsidR="00000000" w:rsidDel="00000000" w:rsidRPr="00000000">
              <w:rPr>
                <w:b w:val="true"/>
              </w:rPr>
              <w:t xml:space="preserve">Title: </w:t>
            </w:r>
            <w:r w:rsidR="00000000" w:rsidDel="00000000" w:rsidRPr="00000000">
              <w:rPr/>
              <w:t xml:space="preserve">Owner</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60cf24a-f635-795a-5f3d-78ff572e2bd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BodyText2">
    <w:name w:val="Body Text 2"/>
    <w:uiPriority w:val="1"/>
    <w:basedOn w:val="Normal"/>
    <w:next w:val="BodyText2"/>
    <w:pPr>
      <w:spacing w:line="480.0" w:lineRule="auto" w:after="120.0"/>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32"/>
    </w:rPr>
    <w:aliases w:val="heading 1"/>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sz w:val="24"/>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
    <w:name w:val="List"/>
    <w:uiPriority w:val="1"/>
    <w:basedOn w:val="Normal"/>
    <w:next w:val="List"/>
    <w:p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BodyText">
    <w:name w:val="Body Text"/>
    <w:uiPriority w:val="1"/>
    <w:basedOn w:val="Normal"/>
    <w:next w:val="BodyText"/>
    <w:pPr>
      <w:spacing w:after="120.0"/>
      <w:widowControl w:val="1"/>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TOCHeading">
    <w:name w:val="TOC Heading"/>
    <w:uiPriority w:val="1"/>
    <w:basedOn w:val="Heading1"/>
    <w:next w:val="Normal"/>
    <w:pPr>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2">
    <w:name w:val="List 2"/>
    <w:uiPriority w:val="1"/>
    <w:basedOn w:val="Normal"/>
    <w:next w:val="List2"/>
    <w:pPr>
      <w:widowControl w:val="1"/>
      <w:ind w:left="72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8672286">
    <w:uiPriority w:val="1"/>
    <w:tblPr>
      <w:tblInd w:w="0" w:type="dxa"/>
    </w:tblPr>
    <w:tcPr>
      <w:tcMar>
        <w:left w:w="90" w:type="dxa"/>
        <w:right w:w="90" w:type="dxa"/>
      </w:tcMar>
      <w:vAlign w:val="top"/>
    </w:tcPr>
    <w:unhideWhenUsed/>
    <w:qFormat/>
  </w:style>
  <w:style w:type="table" w:styleId="417734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1563962">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260cf24a-f635-795a-5f3d-78ff572e2bd6"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