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</w:rPr>
        <w:t xml:space="preserve">Digerati Experts, LLC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36.0"/>
        </w:rPr>
        <w:t xml:space="preserve">ORDER FORM — SERVICE SELECTION &amp; PRICING</w:t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/>
        <w:t xml:space="preserve">Pricing authority • Incorporated into the MSA and the attached SOW(s)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3963381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 Legal Name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Billing Start Date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«Billing Start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Term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«Month-to-Month / 1-Year / 3-Year / Other»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(Client)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«Name / Title / Email / Phone»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(Digerati)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admin@digerati-experts.com | 325-480-9870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Version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v2026.4 (January 02, 2026)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1. Purpose &amp; Precedence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Order Form defines the selected tier, lane, quantities, and fees for the Client engagement. The attached SOW(s) define scope and deliverables. If a conflict exists between this Order Form and an SOW regarding pricing, quantities, or commercial terms, this Order Form controls. If a conflict exists regarding service scope, the SOW controls.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2. Tier Selection</w:t>
      </w:r>
    </w:p>
    <w:tbl>
      <w:tblPr>
        <w:tblStyle w:val="3275636"/>
        <w:tblW w:w="8640" w:type="dxa"/>
        <w:tblLayout w:type="fixed"/>
        <w:tblLook w:val="0000060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Tier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Selected (Y/N)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Notes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Office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Reference: $750/site + $125/user/mo (min $750).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Business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Reference: $240/user/mo (min $1,200).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Enterprise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Reference: $350/user/mo (min $3,500).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3. Platform Lane Selection (Core IT)</w:t>
      </w:r>
    </w:p>
    <w:tbl>
      <w:tblPr>
        <w:tblStyle w:val="4677346"/>
        <w:tblW w:w="8640" w:type="dxa"/>
        <w:tblLayout w:type="fixed"/>
        <w:tblLook w:val="0000060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Lane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Selected (Y/N)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Notes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Lane A — Microsoft Native (Entra + Intune + Autopilot)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Requires appropriate Microsoft licensing unless bundled.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Lane B — Cross‑Platform (JumpCloud + Atakama)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Default lane unless Microsoft-native required.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4. Quantities (Billing Drivers)</w:t>
      </w:r>
    </w:p>
    <w:tbl>
      <w:tblPr>
        <w:tblStyle w:val="4411929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Metric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Quantity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Covered Users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Covered Endpoints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Covered Servers (if applicable)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Covered Sites/Locations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Remote Workers (if tracked)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5. Fees</w:t>
      </w:r>
    </w:p>
    <w:tbl>
      <w:tblPr>
        <w:tblStyle w:val="2112218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Fee Item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Amount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Monthly Recurring Total (MRC)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One-Time Fees (NRC) Total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Core IT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Security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Network Integration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Backup/DR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UCaaS/VoIP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sz w:val="21.0"/>
              </w:rPr>
              <w:t xml:space="preserve">Optional: On‑Site Visit / Truck‑Roll Fee (per visit)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sz w:val="21.0"/>
              </w:rPr>
              <w:t xml:space="preserve">«$»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Notes: Taxes, telecom carrier fees, hardware, and third‑party licensing are excluded unless expressly listed above or in the attached SOW(s).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6. Attached SOWs (Select)</w:t>
      </w:r>
    </w:p>
    <w:tbl>
      <w:tblPr>
        <w:tblStyle w:val="4118146"/>
        <w:tblW w:w="8640" w:type="dxa"/>
        <w:tblLayout w:type="fixed"/>
        <w:tblLook w:val="0000060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Attached (Y/N)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Notes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Core IT, Infrastructure &amp; Support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Typically required for managed service tiers.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Workplace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Digital Employee Workplace services are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Security Stack &amp; Operations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security stack/SOC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Network Integration &amp; Advanced Networking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network integration/SASE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Backup/DR &amp; Continuity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endpoint/server backup or DR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UCaaS/VoIP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voice/calling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vCIO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vCIO cadence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Compliance &amp; Risk Ops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compliance/vCISO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CSRA (Risk Assessment)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CSRA assessment is included.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7. Electronic Signatures; Counterparts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Order Form may be executed in counterparts and via electronic signature, each of which is deemed an original and together constitute one instrument.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8. Optional On‑Site / Truck‑Roll Fees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not included in the attached SOW(s), the following optional fees apply: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☐ On‑Site / Truck‑Roll Visit Fee: $</w:t>
      </w:r>
      <w:r w:rsidR="00000000" w:rsidDel="00000000" w:rsidRPr="00000000">
        <w:rPr>
          <w:b w:val="true"/>
          <w:shd w:fill="FEFF00" w:val="clear" w:color="auto"/>
        </w:rPr>
        <w:t xml:space="preserve">«Per Visit Fee»</w:t>
      </w:r>
      <w:r w:rsidR="00000000" w:rsidDel="00000000" w:rsidRPr="00000000">
        <w:rPr/>
        <w:t xml:space="preserve"> per visit (plus applicable taxes/parking/tolls).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9. Optional Guarantees (if selected)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selected, the guarantees in MSA Exhibit G apply to Covered Services under the attached SOW(s), subject to their terms and limitations: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30‑Day Money‑Back Guarantee (new Managed Services only)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On‑Site On‑Time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Never Leave a Voicemail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Meet Our Service Level Agreement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Make It Right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Privacy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100% Satisfaction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Try Us Before You Commit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We’ll Pay Out Your Existing Managed Services Contract Guarantee (invoice credit)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“Pay Out Existing Contract” is selected, approved cap (invoice credit): $</w:t>
      </w:r>
      <w:r w:rsidR="00000000" w:rsidDel="00000000" w:rsidRPr="00000000">
        <w:rPr>
          <w:b w:val="true"/>
          <w:shd w:fill="FEFF00" w:val="clear" w:color="auto"/>
        </w:rPr>
        <w:t xml:space="preserve">«Credit Cap»</w:t>
      </w:r>
      <w:r w:rsidR="00000000" w:rsidDel="00000000" w:rsidRPr="00000000">
        <w:rPr/>
        <w:t xml:space="preserve"> (requires documentation).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Signatures</w:t>
      </w:r>
    </w:p>
    <w:tbl>
      <w:tblPr>
        <w:tblStyle w:val="1482763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shd w:fill="F7F7F7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Signature: 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Printed Name: «Client Signatory Name»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Title: «Client Signatory Title»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Date: «Date»</w:t>
            </w:r>
          </w:p>
        </w:tc>
        <w:tc>
          <w:tcPr>
            <w:tcW w:w="4320" w:type="dxa"/>
            <w:shd w:fill="F7F7F7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Signature: 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Printed Name: Joseph Petro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Title: Owner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Date: «Date»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3f8ad787-be6d-8f26-a920-b0f9f6691f7d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libri" w:eastAsia="Calibri" w:hAnsi="Calibri" w:cs="Calibri"/>
      <w:sz w:val="22"/>
    </w:rPr>
    <w:aliases w:val="Normal"/>
    <w:unhideWhenUsed/>
    <w:qFormat/>
  </w:style>
  <w:style w:type="paragraph" w:styleId="macro">
    <w:name w:val="macro"/>
    <w:uiPriority w:val="1"/>
    <w:next w:val="macro"/>
    <w:pPr>
      <w:spacing w:line="275.9999942779541" w:lineRule="auto" w:after="200.0"/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="Cambria" w:eastAsia="Cambria" w:hAnsi="Cambria" w:cs="Cambria"/>
      <w:sz w:val="22"/>
    </w:rPr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3963381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3275636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677346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411929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2112218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118146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1482763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3f8ad787-be6d-8f26-a920-b0f9f6691f7d" Target="fonts/Arimo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