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240"/>
      </w:pPr>
      <w:r>
        <w:rPr>
          <w:rFonts w:ascii="Arial" w:cs="Arial" w:eastAsia="Arial" w:hAnsi="Arial"/>
          <w:b/>
          <w:bCs/>
          <w:color w:val="595959"/>
          <w:spacing w:val="40"/>
          <w:sz w:val="20"/>
          <w:szCs w:val="20"/>
        </w:rPr>
        <w:t xml:space="preserve">MEMORANDUM</w:t>
      </w:r>
    </w:p>
    <w:p>
      <w:pPr>
        <w:spacing w:after="160"/>
      </w:pPr>
      <w:r>
        <w:rPr>
          <w:rFonts w:ascii="Arial" w:cs="Arial" w:eastAsia="Arial" w:hAnsi="Arial"/>
          <w:b/>
          <w:bCs/>
          <w:color w:val="1F3864"/>
          <w:sz w:val="60"/>
          <w:szCs w:val="60"/>
        </w:rPr>
        <w:t xml:space="preserve">207 Main Street, Amagansett</w:t>
      </w:r>
    </w:p>
    <w:p>
      <w:pPr>
        <w:pBdr>
          <w:bottom w:val="single" w:color="1F3864" w:sz="12" w:space="12"/>
        </w:pBdr>
        <w:spacing w:after="360"/>
      </w:pPr>
      <w:r>
        <w:rPr>
          <w:rFonts w:ascii="Arial" w:cs="Arial" w:eastAsia="Arial" w:hAnsi="Arial"/>
          <w:color w:val="1F3864"/>
          <w:sz w:val="36"/>
          <w:szCs w:val="36"/>
        </w:rPr>
        <w:t xml:space="preserve">Commercial Market Rent Assessment</w:t>
      </w:r>
    </w:p>
    <w:p>
      <w:pPr>
        <w:spacing w:after="160"/>
      </w:pPr>
      <w:r>
        <w:rPr>
          <w:rFonts w:ascii="Arial" w:cs="Arial" w:eastAsia="Arial" w:hAnsi="Arial"/>
          <w:sz w:val="24"/>
          <w:szCs w:val="24"/>
        </w:rPr>
        <w:t xml:space="preserve">Landlord Market Rent Opinion | Prepared October 7, 2026</w:t>
      </w:r>
    </w:p>
    <w:p>
      <w:pPr>
        <w:spacing w:after="3600"/>
      </w:pPr>
      <w:r>
        <w:rPr>
          <w:rFonts w:ascii="Arial" w:cs="Arial" w:eastAsia="Arial" w:hAnsi="Arial"/>
          <w:b/>
          <w:bCs/>
          <w:sz w:val="22"/>
          <w:szCs w:val="22"/>
        </w:rPr>
        <w:t xml:space="preserve">Subject: </w:t>
      </w:r>
      <w:r>
        <w:rPr>
          <w:rFonts w:ascii="Arial" w:cs="Arial" w:eastAsia="Arial" w:hAnsi="Arial"/>
          <w:sz w:val="22"/>
          <w:szCs w:val="22"/>
        </w:rPr>
        <w:t xml:space="preserve">207 Main Street, Amagansett, NY 11930 (SCTM 300-171-1-18)</w:t>
      </w:r>
    </w:p>
    <w:p>
      <w:pPr>
        <w:pBdr>
          <w:top w:val="single" w:color="A6ACB5" w:sz="4" w:space="8"/>
        </w:pBdr>
        <w:spacing w:after="0" w:line="252"/>
      </w:pPr>
      <w:r>
        <w:rPr>
          <w:rFonts w:ascii="Arial" w:cs="Arial" w:eastAsia="Arial" w:hAnsi="Arial"/>
          <w:b/>
          <w:bCs/>
          <w:color w:val="595959"/>
          <w:sz w:val="17"/>
          <w:szCs w:val="17"/>
        </w:rPr>
        <w:t xml:space="preserve">Confidential. Not an appraisal. </w:t>
      </w:r>
      <w:r>
        <w:rPr>
          <w:rFonts w:ascii="Arial" w:cs="Arial" w:eastAsia="Arial" w:hAnsi="Arial"/>
          <w:color w:val="595959"/>
          <w:sz w:val="17"/>
          <w:szCs w:val="17"/>
        </w:rPr>
        <w:t xml:space="preserve">Prepared for the landlord’s negotiation use. Market rent figures are ESTIMATES based on adjusted asking rents: no executed Amagansett commercial rent is public for 2014–2026, and the 1,100 SF area, lease type and expense responsibilities are unverified. The assumptions that drive the result are appraiser judgments, stated so that a reviewer can substitute alternatives.</w:t>
      </w:r>
    </w:p>
    <w:p>
      <w:r>
        <w:br w:type="page"/>
      </w:r>
    </w:p>
    <w:p>
      <w:pPr>
        <w:pBdr>
          <w:bottom w:val="single" w:color="1F3864" w:sz="6" w:space="6"/>
        </w:pBdr>
        <w:spacing w:after="240"/>
      </w:pPr>
      <w:r>
        <w:rPr>
          <w:rFonts w:ascii="Arial" w:cs="Arial" w:eastAsia="Arial" w:hAnsi="Arial"/>
          <w:b/>
          <w:bCs/>
          <w:color w:val="1F3864"/>
          <w:sz w:val="32"/>
          <w:szCs w:val="32"/>
        </w:rPr>
        <w:t xml:space="preserve">Contents</w:t>
      </w:r>
    </w:p>
    <w:sdt>
      <w:sdtPr>
        <w:alias w:val="Contents"/>
      </w:sdtPr>
      <w:sdtContent>
        <w:p>
          <w:pPr>
            <w:pStyle w:val="TOC1"/>
            <w:tabs>
              <w:tab w:val="right" w:leader="dot" w:pos="10070"/>
            </w:tabs>
          </w:pPr>
          <w:r>
            <w:fldChar w:fldCharType="begin" w:dirty="true"/>
            <w:instrText xml:space="preserve">TOC \h \o "1-1"</w:instrText>
            <w:fldChar w:fldCharType="separate"/>
          </w:r>
          <w:hyperlink w:anchor="sec1" w:history="1">
            <w:r>
              <w:t xml:space="preserve">Executive Summary</w:t>
            </w:r>
            <w:r>
              <w:tab/>
            </w:r>
            <w:r>
              <w:t>3</w:t>
            </w:r>
          </w:hyperlink>
        </w:p>
        <w:p>
          <w:pPr>
            <w:pStyle w:val="TOC1"/>
            <w:tabs>
              <w:tab w:val="right" w:leader="dot" w:pos="10070"/>
            </w:tabs>
          </w:pPr>
          <w:hyperlink w:anchor="sec2" w:history="1">
            <w:r>
              <w:t xml:space="preserve">Subject Property</w:t>
            </w:r>
            <w:r>
              <w:tab/>
            </w:r>
            <w:r>
              <w:t>4</w:t>
            </w:r>
          </w:hyperlink>
        </w:p>
        <w:p>
          <w:pPr>
            <w:pStyle w:val="TOC1"/>
            <w:tabs>
              <w:tab w:val="right" w:leader="dot" w:pos="10070"/>
            </w:tabs>
          </w:pPr>
          <w:hyperlink w:anchor="sec3" w:history="1">
            <w:r>
              <w:t xml:space="preserve">Current Lease Economics</w:t>
            </w:r>
            <w:r>
              <w:tab/>
            </w:r>
            <w:r>
              <w:t>6</w:t>
            </w:r>
          </w:hyperlink>
        </w:p>
        <w:p>
          <w:pPr>
            <w:pStyle w:val="TOC1"/>
            <w:tabs>
              <w:tab w:val="right" w:leader="dot" w:pos="10070"/>
            </w:tabs>
          </w:pPr>
          <w:hyperlink w:anchor="sec4" w:history="1">
            <w:r>
              <w:t xml:space="preserve">Amagansett Market Overview</w:t>
            </w:r>
            <w:r>
              <w:tab/>
            </w:r>
            <w:r>
              <w:t>7</w:t>
            </w:r>
          </w:hyperlink>
        </w:p>
        <w:p>
          <w:pPr>
            <w:pStyle w:val="TOC1"/>
            <w:tabs>
              <w:tab w:val="right" w:leader="dot" w:pos="10070"/>
            </w:tabs>
          </w:pPr>
          <w:hyperlink w:anchor="sec5" w:history="1">
            <w:r>
              <w:t xml:space="preserve">Comparable Properties</w:t>
            </w:r>
            <w:r>
              <w:tab/>
            </w:r>
            <w:r>
              <w:t>8</w:t>
            </w:r>
          </w:hyperlink>
        </w:p>
        <w:p>
          <w:pPr>
            <w:pStyle w:val="TOC1"/>
            <w:tabs>
              <w:tab w:val="right" w:leader="dot" w:pos="10070"/>
            </w:tabs>
          </w:pPr>
          <w:hyperlink w:anchor="sec6" w:history="1">
            <w:r>
              <w:t xml:space="preserve">Executed Transactions</w:t>
            </w:r>
            <w:r>
              <w:tab/>
            </w:r>
            <w:r>
              <w:t>12</w:t>
            </w:r>
          </w:hyperlink>
        </w:p>
        <w:p>
          <w:pPr>
            <w:pStyle w:val="TOC1"/>
            <w:tabs>
              <w:tab w:val="right" w:leader="dot" w:pos="10070"/>
            </w:tabs>
          </w:pPr>
          <w:hyperlink w:anchor="sec7" w:history="1">
            <w:r>
              <w:t xml:space="preserve">Historical Market Evidence</w:t>
            </w:r>
            <w:r>
              <w:tab/>
            </w:r>
            <w:r>
              <w:t>13</w:t>
            </w:r>
          </w:hyperlink>
        </w:p>
        <w:p>
          <w:pPr>
            <w:pStyle w:val="TOC1"/>
            <w:tabs>
              <w:tab w:val="right" w:leader="dot" w:pos="10070"/>
            </w:tabs>
          </w:pPr>
          <w:hyperlink w:anchor="sec8" w:history="1">
            <w:r>
              <w:t xml:space="preserve">Comparable Adjustments</w:t>
            </w:r>
            <w:r>
              <w:tab/>
            </w:r>
            <w:r>
              <w:t>16</w:t>
            </w:r>
          </w:hyperlink>
        </w:p>
        <w:p>
          <w:pPr>
            <w:pStyle w:val="TOC1"/>
            <w:tabs>
              <w:tab w:val="right" w:leader="dot" w:pos="10070"/>
            </w:tabs>
          </w:pPr>
          <w:hyperlink w:anchor="sec9" w:history="1">
            <w:r>
              <w:t xml:space="preserve">Market Rent Calculation</w:t>
            </w:r>
            <w:r>
              <w:tab/>
            </w:r>
            <w:r>
              <w:t>20</w:t>
            </w:r>
          </w:hyperlink>
        </w:p>
        <w:p>
          <w:pPr>
            <w:pStyle w:val="TOC1"/>
            <w:tabs>
              <w:tab w:val="right" w:leader="dot" w:pos="10070"/>
            </w:tabs>
          </w:pPr>
          <w:hyperlink w:anchor="sec10" w:history="1">
            <w:r>
              <w:t xml:space="preserve">Sensitivity Analysis</w:t>
            </w:r>
            <w:r>
              <w:tab/>
            </w:r>
            <w:r>
              <w:t>21</w:t>
            </w:r>
          </w:hyperlink>
        </w:p>
        <w:p>
          <w:pPr>
            <w:pStyle w:val="TOC1"/>
            <w:tabs>
              <w:tab w:val="right" w:leader="dot" w:pos="10070"/>
            </w:tabs>
          </w:pPr>
          <w:hyperlink w:anchor="sec11" w:history="1">
            <w:r>
              <w:t xml:space="preserve">Tenant Rent vs. Market</w:t>
            </w:r>
            <w:r>
              <w:tab/>
            </w:r>
            <w:r>
              <w:t>22</w:t>
            </w:r>
          </w:hyperlink>
        </w:p>
        <w:p>
          <w:pPr>
            <w:pStyle w:val="TOC1"/>
            <w:tabs>
              <w:tab w:val="right" w:leader="dot" w:pos="10070"/>
            </w:tabs>
          </w:pPr>
          <w:hyperlink w:anchor="sec12" w:history="1">
            <w:r>
              <w:t xml:space="preserve">Landlord Negotiation Position</w:t>
            </w:r>
            <w:r>
              <w:tab/>
            </w:r>
            <w:r>
              <w:t>22</w:t>
            </w:r>
          </w:hyperlink>
        </w:p>
        <w:p>
          <w:pPr>
            <w:pStyle w:val="TOC1"/>
            <w:tabs>
              <w:tab w:val="right" w:leader="dot" w:pos="10070"/>
            </w:tabs>
          </w:pPr>
          <w:hyperlink w:anchor="sec13" w:history="1">
            <w:r>
              <w:t xml:space="preserve">Potential Tenant Arguments and Responses</w:t>
            </w:r>
            <w:r>
              <w:tab/>
            </w:r>
            <w:r>
              <w:t>24</w:t>
            </w:r>
          </w:hyperlink>
        </w:p>
        <w:p>
          <w:pPr>
            <w:pStyle w:val="TOC1"/>
            <w:tabs>
              <w:tab w:val="right" w:leader="dot" w:pos="10070"/>
            </w:tabs>
          </w:pPr>
          <w:hyperlink w:anchor="sec14" w:history="1">
            <w:r>
              <w:t xml:space="preserve">Conclusion</w:t>
            </w:r>
            <w:r>
              <w:tab/>
            </w:r>
            <w:r>
              <w:t>25</w:t>
            </w:r>
          </w:hyperlink>
        </w:p>
        <w:p>
          <w:pPr>
            <w:pStyle w:val="TOC1"/>
            <w:tabs>
              <w:tab w:val="right" w:leader="dot" w:pos="10070"/>
            </w:tabs>
          </w:pPr>
          <w:hyperlink w:anchor="sec15" w:history="1">
            <w:r>
              <w:t xml:space="preserve">Sources / URLs</w:t>
            </w:r>
            <w:r>
              <w:tab/>
            </w:r>
            <w:r>
              <w:t>27</w:t>
            </w:r>
          </w:hyperlink>
        </w:p>
        <w:p>
          <w:pPr>
            <w:pStyle w:val="TOC1"/>
            <w:tabs>
              <w:tab w:val="right" w:leader="dot" w:pos="10070"/>
            </w:tabs>
          </w:pPr>
          <w:hyperlink w:anchor="sec16" w:history="1">
            <w:r>
              <w:t xml:space="preserve">Research Limitations</w:t>
            </w:r>
            <w:r>
              <w:tab/>
            </w:r>
            <w:r>
              <w:t>33</w:t>
            </w:r>
          </w:hyperlink>
        </w:p>
        <w:p>
          <w:pPr>
            <w:pStyle w:val="TOC1"/>
            <w:tabs>
              <w:tab w:val="right" w:leader="dot" w:pos="10070"/>
            </w:tabs>
          </w:pPr>
          <w:hyperlink w:anchor="sec17" w:history="1">
            <w:r>
              <w:t xml:space="preserve">Market Rent Conclusion</w:t>
            </w:r>
            <w:r>
              <w:tab/>
            </w:r>
            <w:r>
              <w:t>35</w:t>
            </w:r>
          </w:hyperlink>
          <w:r>
            <w:fldChar w:fldCharType="end"/>
          </w:r>
        </w:p>
      </w:sdtContent>
    </w:sdt>
    <w:p>
      <w:pPr>
        <w:keepNext/>
        <w:pBdr>
          <w:bottom w:val="single" w:color="A6ACB5" w:sz="4" w:space="4"/>
        </w:pBdr>
        <w:spacing w:after="120" w:before="360"/>
      </w:pPr>
      <w:r>
        <w:rPr>
          <w:rFonts w:ascii="Arial" w:cs="Arial" w:eastAsia="Arial" w:hAnsi="Arial"/>
          <w:b/>
          <w:bCs/>
          <w:color w:val="1F3864"/>
          <w:sz w:val="22"/>
          <w:szCs w:val="22"/>
        </w:rPr>
        <w:t xml:space="preserve">Basis of assessment and evidence conventions</w:t>
      </w:r>
    </w:p>
    <w:p>
      <w:pPr>
        <w:spacing w:after="140" w:line="276"/>
      </w:pPr>
      <w:r>
        <w:rPr>
          <w:rFonts w:ascii="Arial" w:cs="Arial" w:eastAsia="Arial" w:hAnsi="Arial"/>
          <w:b/>
          <w:bCs/>
          <w:sz w:val="19"/>
          <w:szCs w:val="19"/>
        </w:rPr>
        <w:t xml:space="preserve">Effective date:</w:t>
      </w:r>
      <w:r>
        <w:rPr>
          <w:rFonts w:ascii="Arial" w:cs="Arial" w:eastAsia="Arial" w:hAnsi="Arial"/>
          <w:b w:val="false"/>
          <w:bCs w:val="false"/>
          <w:sz w:val="19"/>
          <w:szCs w:val="19"/>
        </w:rPr>
        <w:t xml:space="preserve"> October 7, 2026. </w:t>
      </w:r>
      <w:r>
        <w:rPr>
          <w:rFonts w:ascii="Arial" w:cs="Arial" w:eastAsia="Arial" w:hAnsi="Arial"/>
          <w:b/>
          <w:bCs/>
          <w:sz w:val="19"/>
          <w:szCs w:val="19"/>
        </w:rPr>
        <w:t xml:space="preserve">Subject:</w:t>
      </w:r>
      <w:r>
        <w:rPr>
          <w:rFonts w:ascii="Arial" w:cs="Arial" w:eastAsia="Arial" w:hAnsi="Arial"/>
          <w:b w:val="false"/>
          <w:bCs w:val="false"/>
          <w:sz w:val="19"/>
          <w:szCs w:val="19"/>
        </w:rPr>
        <w:t xml:space="preserve"> 207 Main Street, Amagansett, NY 11930 (SCTM 300-171-1-18), Town of East Hampton, Suffolk County. </w:t>
      </w:r>
      <w:r>
        <w:rPr>
          <w:rFonts w:ascii="Arial" w:cs="Arial" w:eastAsia="Arial" w:hAnsi="Arial"/>
          <w:b/>
          <w:bCs/>
          <w:sz w:val="19"/>
          <w:szCs w:val="19"/>
        </w:rPr>
        <w:t xml:space="preserve">Rent basis:</w:t>
      </w:r>
      <w:r>
        <w:rPr>
          <w:rFonts w:ascii="Arial" w:cs="Arial" w:eastAsia="Arial" w:hAnsi="Arial"/>
          <w:b w:val="false"/>
          <w:bCs w:val="false"/>
          <w:sz w:val="19"/>
          <w:szCs w:val="19"/>
        </w:rPr>
        <w:t xml:space="preserve"> annual base rent per square foot (SF), triple-net (NNN), unless a figure is labelled otherwise. </w:t>
      </w:r>
      <w:r>
        <w:rPr>
          <w:rFonts w:ascii="Arial" w:cs="Arial" w:eastAsia="Arial" w:hAnsi="Arial"/>
          <w:b/>
          <w:bCs/>
          <w:sz w:val="19"/>
          <w:szCs w:val="19"/>
        </w:rPr>
        <w:t xml:space="preserve">Area basis:</w:t>
      </w:r>
      <w:r>
        <w:rPr>
          <w:rFonts w:ascii="Arial" w:cs="Arial" w:eastAsia="Arial" w:hAnsi="Arial"/>
          <w:b w:val="false"/>
          <w:bCs w:val="false"/>
          <w:sz w:val="19"/>
          <w:szCs w:val="19"/>
        </w:rPr>
        <w:t xml:space="preserve"> 1,100 SF, broker-reported and unverified by any government record (see Subject Property).</w:t>
      </w:r>
    </w:p>
    <w:p>
      <w:pPr>
        <w:spacing w:after="140" w:line="276"/>
      </w:pPr>
      <w:r>
        <w:rPr>
          <w:rFonts w:ascii="Arial" w:cs="Arial" w:eastAsia="Arial" w:hAnsi="Arial"/>
          <w:b/>
          <w:bCs/>
          <w:sz w:val="19"/>
          <w:szCs w:val="19"/>
        </w:rPr>
        <w:t xml:space="preserve">Evidence labels used throughout:</w:t>
      </w:r>
      <w:r>
        <w:rPr>
          <w:rFonts w:ascii="Arial" w:cs="Arial" w:eastAsia="Arial" w:hAnsi="Arial"/>
          <w:b w:val="false"/>
          <w:bCs w:val="false"/>
          <w:sz w:val="19"/>
          <w:szCs w:val="19"/>
        </w:rPr>
        <w:t xml:space="preserve"> </w:t>
      </w:r>
      <w:r>
        <w:rPr>
          <w:rFonts w:ascii="Arial" w:cs="Arial" w:eastAsia="Arial" w:hAnsi="Arial"/>
          <w:b/>
          <w:bCs/>
          <w:sz w:val="19"/>
          <w:szCs w:val="19"/>
        </w:rPr>
        <w:t xml:space="preserve">ASK</w:t>
      </w:r>
      <w:r>
        <w:rPr>
          <w:rFonts w:ascii="Arial" w:cs="Arial" w:eastAsia="Arial" w:hAnsi="Arial"/>
          <w:b w:val="false"/>
          <w:bCs w:val="false"/>
          <w:sz w:val="19"/>
          <w:szCs w:val="19"/>
        </w:rPr>
        <w:t xml:space="preserve"> = asking rent on a listing; </w:t>
      </w:r>
      <w:r>
        <w:rPr>
          <w:rFonts w:ascii="Arial" w:cs="Arial" w:eastAsia="Arial" w:hAnsi="Arial"/>
          <w:b/>
          <w:bCs/>
          <w:sz w:val="19"/>
          <w:szCs w:val="19"/>
        </w:rPr>
        <w:t xml:space="preserve">EXECUTED/CLOSED</w:t>
      </w:r>
      <w:r>
        <w:rPr>
          <w:rFonts w:ascii="Arial" w:cs="Arial" w:eastAsia="Arial" w:hAnsi="Arial"/>
          <w:b w:val="false"/>
          <w:bCs w:val="false"/>
          <w:sz w:val="19"/>
          <w:szCs w:val="19"/>
        </w:rPr>
        <w:t xml:space="preserve"> = a signed, assigned or broker-reported closed lease; </w:t>
      </w:r>
      <w:r>
        <w:rPr>
          <w:rFonts w:ascii="Arial" w:cs="Arial" w:eastAsia="Arial" w:hAnsi="Arial"/>
          <w:b/>
          <w:bCs/>
          <w:sz w:val="19"/>
          <w:szCs w:val="19"/>
        </w:rPr>
        <w:t xml:space="preserve">HISTORICAL</w:t>
      </w:r>
      <w:r>
        <w:rPr>
          <w:rFonts w:ascii="Arial" w:cs="Arial" w:eastAsia="Arial" w:hAnsi="Arial"/>
          <w:b w:val="false"/>
          <w:bCs w:val="false"/>
          <w:sz w:val="19"/>
          <w:szCs w:val="19"/>
        </w:rPr>
        <w:t xml:space="preserve"> = a dated past listing or event; </w:t>
      </w:r>
      <w:r>
        <w:rPr>
          <w:rFonts w:ascii="Arial" w:cs="Arial" w:eastAsia="Arial" w:hAnsi="Arial"/>
          <w:b/>
          <w:bCs/>
          <w:sz w:val="19"/>
          <w:szCs w:val="19"/>
        </w:rPr>
        <w:t xml:space="preserve">BROKER OPINION</w:t>
      </w:r>
      <w:r>
        <w:rPr>
          <w:rFonts w:ascii="Arial" w:cs="Arial" w:eastAsia="Arial" w:hAnsi="Arial"/>
          <w:b w:val="false"/>
          <w:bCs w:val="false"/>
          <w:sz w:val="19"/>
          <w:szCs w:val="19"/>
        </w:rPr>
        <w:t xml:space="preserve"> = a broker's quoted range or rule of thumb; </w:t>
      </w:r>
      <w:r>
        <w:rPr>
          <w:rFonts w:ascii="Arial" w:cs="Arial" w:eastAsia="Arial" w:hAnsi="Arial"/>
          <w:b/>
          <w:bCs/>
          <w:sz w:val="19"/>
          <w:szCs w:val="19"/>
        </w:rPr>
        <w:t xml:space="preserve">ESTIMATE</w:t>
      </w:r>
      <w:r>
        <w:rPr>
          <w:rFonts w:ascii="Arial" w:cs="Arial" w:eastAsia="Arial" w:hAnsi="Arial"/>
          <w:b w:val="false"/>
          <w:bCs w:val="false"/>
          <w:sz w:val="19"/>
          <w:szCs w:val="19"/>
        </w:rPr>
        <w:t xml:space="preserve"> = a figure inferred or calculated in this report. Source grades: </w:t>
      </w:r>
      <w:r>
        <w:rPr>
          <w:rFonts w:ascii="Arial" w:cs="Arial" w:eastAsia="Arial" w:hAnsi="Arial"/>
          <w:b/>
          <w:bCs/>
          <w:sz w:val="19"/>
          <w:szCs w:val="19"/>
        </w:rPr>
        <w:t xml:space="preserve">A</w:t>
      </w:r>
      <w:r>
        <w:rPr>
          <w:rFonts w:ascii="Arial" w:cs="Arial" w:eastAsia="Arial" w:hAnsi="Arial"/>
          <w:b w:val="false"/>
          <w:bCs w:val="false"/>
          <w:sz w:val="19"/>
          <w:szCs w:val="19"/>
        </w:rPr>
        <w:t xml:space="preserve"> = government record or recorded transaction; </w:t>
      </w:r>
      <w:r>
        <w:rPr>
          <w:rFonts w:ascii="Arial" w:cs="Arial" w:eastAsia="Arial" w:hAnsi="Arial"/>
          <w:b/>
          <w:bCs/>
          <w:sz w:val="19"/>
          <w:szCs w:val="19"/>
        </w:rPr>
        <w:t xml:space="preserve">B</w:t>
      </w:r>
      <w:r>
        <w:rPr>
          <w:rFonts w:ascii="Arial" w:cs="Arial" w:eastAsia="Arial" w:hAnsi="Arial"/>
          <w:b w:val="false"/>
          <w:bCs w:val="false"/>
          <w:sz w:val="19"/>
          <w:szCs w:val="19"/>
        </w:rPr>
        <w:t xml:space="preserve"> = broker listing with detailed terms or established real estate publication; </w:t>
      </w:r>
      <w:r>
        <w:rPr>
          <w:rFonts w:ascii="Arial" w:cs="Arial" w:eastAsia="Arial" w:hAnsi="Arial"/>
          <w:b/>
          <w:bCs/>
          <w:sz w:val="19"/>
          <w:szCs w:val="19"/>
        </w:rPr>
        <w:t xml:space="preserve">C</w:t>
      </w:r>
      <w:r>
        <w:rPr>
          <w:rFonts w:ascii="Arial" w:cs="Arial" w:eastAsia="Arial" w:hAnsi="Arial"/>
          <w:b w:val="false"/>
          <w:bCs w:val="false"/>
          <w:sz w:val="19"/>
          <w:szCs w:val="19"/>
        </w:rPr>
        <w:t xml:space="preserve"> = historical listing, local newspaper or business website; </w:t>
      </w:r>
      <w:r>
        <w:rPr>
          <w:rFonts w:ascii="Arial" w:cs="Arial" w:eastAsia="Arial" w:hAnsi="Arial"/>
          <w:b/>
          <w:bCs/>
          <w:sz w:val="19"/>
          <w:szCs w:val="19"/>
        </w:rPr>
        <w:t xml:space="preserve">D</w:t>
      </w:r>
      <w:r>
        <w:rPr>
          <w:rFonts w:ascii="Arial" w:cs="Arial" w:eastAsia="Arial" w:hAnsi="Arial"/>
          <w:b w:val="false"/>
          <w:bCs w:val="false"/>
          <w:sz w:val="19"/>
          <w:szCs w:val="19"/>
        </w:rPr>
        <w:t xml:space="preserve"> = aggregator, unverified database or search snippet. Bracketed numbers refer to the Sources / URLs list.</w:t>
      </w:r>
    </w:p>
    <w:p>
      <w:pPr>
        <w:pStyle w:val="Heading1"/>
        <w:pageBreakBefore/>
      </w:pPr>
      <w:bookmarkStart w:name="sec1" w:id="101"/>
      <w:r>
        <w:t xml:space="preserve">Executive Summary</w:t>
      </w:r>
      <w:bookmarkEnd w:id="10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cantSplit/>
        </w:trPr>
        <w:tc>
          <w:tcPr>
            <w:tcW w:type="dxa" w:w="10080"/>
            <w:gridSpan w:val="2"/>
            <w:tcBorders>
              <w:top w:val="single" w:color="1F3864" w:sz="6"/>
              <w:left w:val="single" w:color="1F3864" w:sz="6"/>
              <w:bottom w:val="single" w:color="1F3864" w:sz="6"/>
              <w:right w:val="single" w:color="1F3864" w:sz="6"/>
            </w:tcBorders>
            <w:shd w:fill="1F3864" w:color="auto" w:val="clear"/>
            <w:tcMar>
              <w:top w:type="dxa" w:w="80"/>
              <w:left w:type="dxa" w:w="140"/>
              <w:bottom w:type="dxa" w:w="80"/>
              <w:right w:type="dxa" w:w="140"/>
            </w:tcMar>
            <w:vAlign w:val="center"/>
          </w:tcPr>
          <w:p>
            <w:pPr>
              <w:spacing w:after="0" w:before="0" w:line="252"/>
            </w:pPr>
            <w:r>
              <w:rPr>
                <w:rFonts w:ascii="Arial" w:cs="Arial" w:eastAsia="Arial" w:hAnsi="Arial"/>
                <w:b/>
                <w:bCs/>
                <w:color w:val="FFFFFF"/>
                <w:sz w:val="21"/>
                <w:szCs w:val="21"/>
              </w:rPr>
              <w:t xml:space="preserve">Key figures</w:t>
            </w:r>
          </w:p>
        </w:tc>
      </w:tr>
      <w:tr>
        <w:trPr>
          <w:cantSplit/>
        </w:trPr>
        <w:tc>
          <w:tcPr>
            <w:tcW w:type="dxa" w:w="3427"/>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Current rent</w:t>
            </w:r>
          </w:p>
        </w:tc>
        <w:tc>
          <w:tcPr>
            <w:tcW w:type="dxa" w:w="6653"/>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$5,000/month ($60,000/year; $54.55/SF/year at 1,100 SF)</w:t>
            </w:r>
          </w:p>
        </w:tc>
      </w:tr>
      <w:tr>
        <w:trPr>
          <w:cantSplit/>
        </w:trPr>
        <w:tc>
          <w:tcPr>
            <w:tcW w:type="dxa" w:w="3427"/>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Finding</w:t>
            </w:r>
          </w:p>
        </w:tc>
        <w:tc>
          <w:tcPr>
            <w:tcW w:type="dxa" w:w="6653"/>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bCs/>
                <w:sz w:val="19"/>
                <w:szCs w:val="19"/>
              </w:rPr>
              <w:t xml:space="preserve">BELOW fair market rent</w:t>
            </w:r>
            <w:r>
              <w:rPr>
                <w:rFonts w:ascii="Arial" w:cs="Arial" w:eastAsia="Arial" w:hAnsi="Arial"/>
                <w:b w:val="false"/>
                <w:bCs w:val="false"/>
                <w:sz w:val="19"/>
                <w:szCs w:val="19"/>
              </w:rPr>
              <w:t xml:space="preserve">, by a moderate rather than a dramatic margin</w:t>
            </w:r>
          </w:p>
        </w:tc>
      </w:tr>
      <w:tr>
        <w:trPr>
          <w:cantSplit/>
        </w:trPr>
        <w:tc>
          <w:tcPr>
            <w:tcW w:type="dxa" w:w="3427"/>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Reconciled market rent (ESTIMATE)</w:t>
            </w:r>
          </w:p>
        </w:tc>
        <w:tc>
          <w:tcPr>
            <w:tcW w:type="dxa" w:w="6653"/>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$60–$72/SF/year NNN</w:t>
            </w:r>
          </w:p>
        </w:tc>
      </w:tr>
      <w:tr>
        <w:trPr>
          <w:cantSplit/>
        </w:trPr>
        <w:tc>
          <w:tcPr>
            <w:tcW w:type="dxa" w:w="3427"/>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Implied monthly market rent</w:t>
            </w:r>
          </w:p>
        </w:tc>
        <w:tc>
          <w:tcPr>
            <w:tcW w:type="dxa" w:w="6653"/>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$5,500–$6,600/month for 1,100 SF</w:t>
            </w:r>
          </w:p>
        </w:tc>
      </w:tr>
      <w:tr>
        <w:trPr>
          <w:cantSplit/>
        </w:trPr>
        <w:tc>
          <w:tcPr>
            <w:tcW w:type="dxa" w:w="3427"/>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Best-supported midpoint</w:t>
            </w:r>
          </w:p>
        </w:tc>
        <w:tc>
          <w:tcPr>
            <w:tcW w:type="dxa" w:w="6653"/>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bCs/>
                <w:sz w:val="19"/>
                <w:szCs w:val="19"/>
              </w:rPr>
              <w:t xml:space="preserve">$66/SF, or $6,050/month</w:t>
            </w:r>
          </w:p>
        </w:tc>
      </w:tr>
      <w:tr>
        <w:trPr>
          <w:cantSplit/>
        </w:trPr>
        <w:tc>
          <w:tcPr>
            <w:tcW w:type="dxa" w:w="3427"/>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Current rent vs. market</w:t>
            </w:r>
          </w:p>
        </w:tc>
        <w:tc>
          <w:tcPr>
            <w:tcW w:type="dxa" w:w="6653"/>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About 17% below the market midpoint and about 9% below the low end of the range; about 25% on a gross-equivalent basis if the lease is gross</w:t>
            </w:r>
          </w:p>
        </w:tc>
      </w:tr>
      <w:tr>
        <w:trPr>
          <w:cantSplit/>
        </w:trPr>
        <w:tc>
          <w:tcPr>
            <w:tcW w:type="dxa" w:w="3427"/>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Negotiating positions</w:t>
            </w:r>
          </w:p>
        </w:tc>
        <w:tc>
          <w:tcPr>
            <w:tcW w:type="dxa" w:w="6653"/>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Conservative $5,500 | Midpoint $6,050 | Aggressive $7,000 per month</w:t>
            </w:r>
          </w:p>
        </w:tc>
      </w:tr>
      <w:tr>
        <w:trPr>
          <w:cantSplit/>
        </w:trPr>
        <w:tc>
          <w:tcPr>
            <w:tcW w:type="dxa" w:w="3427"/>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Confidence</w:t>
            </w:r>
          </w:p>
        </w:tc>
        <w:tc>
          <w:tcPr>
            <w:tcW w:type="dxa" w:w="6653"/>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Low on the precise dollar range; higher on the direction of the finding</w:t>
            </w:r>
          </w:p>
        </w:tc>
      </w:tr>
    </w:tbl>
    <w:p>
      <w:pPr>
        <w:spacing w:after="200" w:before="0"/>
      </w:pPr>
    </w:p>
    <w:p>
      <w:pPr>
        <w:keepNext w:val="false"/>
        <w:spacing w:after="140" w:line="276"/>
      </w:pPr>
      <w:r>
        <w:rPr>
          <w:rFonts w:ascii="Arial" w:cs="Arial" w:eastAsia="Arial" w:hAnsi="Arial"/>
          <w:b/>
          <w:bCs/>
        </w:rPr>
        <w:t xml:space="preserve">Answer: the current rent of $5,000/month ($60,000/year; $54.55/SF/year at 1,100 SF) is BELOW fair market rent, by a moderate rather than a dramatic margin.</w:t>
      </w:r>
      <w:r>
        <w:rPr>
          <w:rFonts w:ascii="Arial" w:cs="Arial" w:eastAsia="Arial" w:hAnsi="Arial"/>
          <w:b w:val="false"/>
          <w:bCs w:val="false"/>
        </w:rPr>
        <w:t xml:space="preserve"> The reconciled ESTIMATE of market rent is </w:t>
      </w:r>
      <w:r>
        <w:rPr>
          <w:rFonts w:ascii="Arial" w:cs="Arial" w:eastAsia="Arial" w:hAnsi="Arial"/>
          <w:b/>
          <w:bCs/>
        </w:rPr>
        <w:t xml:space="preserve">$60–$72/SF/year NNN</w:t>
      </w:r>
      <w:r>
        <w:rPr>
          <w:rFonts w:ascii="Arial" w:cs="Arial" w:eastAsia="Arial" w:hAnsi="Arial"/>
          <w:b w:val="false"/>
          <w:bCs w:val="false"/>
        </w:rPr>
        <w:t xml:space="preserve">, which implies </w:t>
      </w:r>
      <w:r>
        <w:rPr>
          <w:rFonts w:ascii="Arial" w:cs="Arial" w:eastAsia="Arial" w:hAnsi="Arial"/>
          <w:b/>
          <w:bCs/>
        </w:rPr>
        <w:t xml:space="preserve">$5,500–$6,600/month</w:t>
      </w:r>
      <w:r>
        <w:rPr>
          <w:rFonts w:ascii="Arial" w:cs="Arial" w:eastAsia="Arial" w:hAnsi="Arial"/>
          <w:b w:val="false"/>
          <w:bCs w:val="false"/>
        </w:rPr>
        <w:t xml:space="preserve"> for 1,100 SF, with a best-supported midpoint of </w:t>
      </w:r>
      <w:r>
        <w:rPr>
          <w:rFonts w:ascii="Arial" w:cs="Arial" w:eastAsia="Arial" w:hAnsi="Arial"/>
          <w:b/>
          <w:bCs/>
        </w:rPr>
        <w:t xml:space="preserve">$66/SF, or $6,050/month</w:t>
      </w:r>
      <w:r>
        <w:rPr>
          <w:rFonts w:ascii="Arial" w:cs="Arial" w:eastAsia="Arial" w:hAnsi="Arial"/>
          <w:b w:val="false"/>
          <w:bCs w:val="false"/>
        </w:rPr>
        <w:t xml:space="preserve">. On that basis the existing rent is </w:t>
      </w:r>
      <w:r>
        <w:rPr>
          <w:rFonts w:ascii="Arial" w:cs="Arial" w:eastAsia="Arial" w:hAnsi="Arial"/>
          <w:b/>
          <w:bCs/>
        </w:rPr>
        <w:t xml:space="preserve">about 17% below the market midpoint and about 9% below the low end of the range</w:t>
      </w:r>
      <w:r>
        <w:rPr>
          <w:rFonts w:ascii="Arial" w:cs="Arial" w:eastAsia="Arial" w:hAnsi="Arial"/>
          <w:b w:val="false"/>
          <w:bCs w:val="false"/>
        </w:rPr>
        <w:t xml:space="preserve">. If the lease turns out to be gross (landlord pays taxes, insurance and building costs), the gap widens to about 25% on a gross-equivalent basis. These are calculations from the adjusted comparables in this report, not executed Amagansett rents, because no executed Amagansett commercial rent has been publicly disclosed for 2014–2026.</w:t>
      </w:r>
    </w:p>
    <w:p>
      <w:pPr>
        <w:keepNext w:val="false"/>
        <w:spacing w:after="140" w:line="276"/>
      </w:pPr>
      <w:r>
        <w:rPr>
          <w:rFonts w:ascii="Arial" w:cs="Arial" w:eastAsia="Arial" w:hAnsi="Arial"/>
          <w:b w:val="false"/>
          <w:bCs w:val="false"/>
        </w:rPr>
        <w:t xml:space="preserve">The </w:t>
      </w:r>
      <w:r>
        <w:rPr>
          <w:rFonts w:ascii="Arial" w:cs="Arial" w:eastAsia="Arial" w:hAnsi="Arial"/>
          <w:b/>
          <w:bCs/>
        </w:rPr>
        <w:t xml:space="preserve">strongest defensible evidence</w:t>
      </w:r>
      <w:r>
        <w:rPr>
          <w:rFonts w:ascii="Arial" w:cs="Arial" w:eastAsia="Arial" w:hAnsi="Arial"/>
          <w:b w:val="false"/>
          <w:bCs w:val="false"/>
        </w:rPr>
        <w:t xml:space="preserve"> for the landlord is, in order: (1) this exact leasehold was marketed in December 2016 for </w:t>
      </w:r>
      <w:r>
        <w:rPr>
          <w:rFonts w:ascii="Arial" w:cs="Arial" w:eastAsia="Arial" w:hAnsi="Arial"/>
          <w:b/>
          <w:bCs/>
        </w:rPr>
        <w:t xml:space="preserve">$625,000 in key money</w:t>
      </w:r>
      <w:r>
        <w:rPr>
          <w:rFonts w:ascii="Arial" w:cs="Arial" w:eastAsia="Arial" w:hAnsi="Arial"/>
          <w:b w:val="false"/>
          <w:bCs w:val="false"/>
        </w:rPr>
        <w:t xml:space="preserve"> for the "long-term lease" and equipment, later quoted at </w:t>
      </w:r>
      <w:r>
        <w:rPr>
          <w:rFonts w:ascii="Arial" w:cs="Arial" w:eastAsia="Arial" w:hAnsi="Arial"/>
          <w:b/>
          <w:bCs/>
        </w:rPr>
        <w:t xml:space="preserve">$575,000</w:t>
      </w:r>
      <w:r>
        <w:rPr>
          <w:rFonts w:ascii="Arial" w:cs="Arial" w:eastAsia="Arial" w:hAnsi="Arial"/>
          <w:b w:val="false"/>
          <w:bCs w:val="false"/>
        </w:rPr>
        <w:t xml:space="preserve">, and was assigned to Organic Krush on </w:t>
      </w:r>
      <w:r>
        <w:rPr>
          <w:rFonts w:ascii="Arial" w:cs="Arial" w:eastAsia="Arial" w:hAnsi="Arial"/>
          <w:b/>
          <w:bCs/>
        </w:rPr>
        <w:t xml:space="preserve">June 12, 2017</w:t>
      </w:r>
      <w:r>
        <w:rPr>
          <w:rFonts w:ascii="Arial" w:cs="Arial" w:eastAsia="Arial" w:hAnsi="Arial"/>
          <w:b w:val="false"/>
          <w:bCs w:val="false"/>
        </w:rPr>
        <w:t xml:space="preserve"> after drawing "several serious inquiries" within a day [10][13][15], which shows that informed market participants valued occupancy of these premises above the contract rent then in force; (2) the only current Amagansett restaurant offering, 74A Montauk Highway, ASKS </w:t>
      </w:r>
      <w:r>
        <w:rPr>
          <w:rFonts w:ascii="Arial" w:cs="Arial" w:eastAsia="Arial" w:hAnsi="Arial"/>
          <w:b/>
          <w:bCs/>
        </w:rPr>
        <w:t xml:space="preserve">$240,000/year NNN ($84.81/SF) plus $700,000 key money</w:t>
      </w:r>
      <w:r>
        <w:rPr>
          <w:rFonts w:ascii="Arial" w:cs="Arial" w:eastAsia="Arial" w:hAnsi="Arial"/>
          <w:b w:val="false"/>
          <w:bCs w:val="false"/>
        </w:rPr>
        <w:t xml:space="preserve"> [28][30]; (3) dry, non-food space in the Main Street district at 11 Indian Wells Highway ASKS </w:t>
      </w:r>
      <w:r>
        <w:rPr>
          <w:rFonts w:ascii="Arial" w:cs="Arial" w:eastAsia="Arial" w:hAnsi="Arial"/>
          <w:b/>
          <w:bCs/>
        </w:rPr>
        <w:t xml:space="preserve">$65/SF NNN</w:t>
      </w:r>
      <w:r>
        <w:rPr>
          <w:rFonts w:ascii="Arial" w:cs="Arial" w:eastAsia="Arial" w:hAnsi="Arial"/>
          <w:b w:val="false"/>
          <w:bCs w:val="false"/>
        </w:rPr>
        <w:t xml:space="preserve"> [33]; (4) the local market is tight, with an Amagansett Square restaurant renewal offered at "almost triple" the prior rent in 2021 [76], few village vacancies since COVID [100], landlords "able to choose what tenants they want" [101] and Suffolk County sales tax up </w:t>
      </w:r>
      <w:r>
        <w:rPr>
          <w:rFonts w:ascii="Arial" w:cs="Arial" w:eastAsia="Arial" w:hAnsi="Arial"/>
          <w:b/>
          <w:bCs/>
        </w:rPr>
        <w:t xml:space="preserve">9.2%</w:t>
      </w:r>
      <w:r>
        <w:rPr>
          <w:rFonts w:ascii="Arial" w:cs="Arial" w:eastAsia="Arial" w:hAnsi="Arial"/>
          <w:b w:val="false"/>
          <w:bCs w:val="false"/>
        </w:rPr>
        <w:t xml:space="preserve"> in the first half of 2026 [103]; and (5) restaurant and take-out food use are permitted as of right in the Central Business (CB) district under the 2018 use table [5], while the space was described as one of "a finite number of permitted 'wet uses'" in the Town [10].</w:t>
      </w:r>
    </w:p>
    <w:p>
      <w:pPr>
        <w:keepNext w:val="false"/>
        <w:spacing w:after="140" w:line="276"/>
      </w:pPr>
      <w:r>
        <w:rPr>
          <w:rFonts w:ascii="Arial" w:cs="Arial" w:eastAsia="Arial" w:hAnsi="Arial"/>
          <w:b w:val="false"/>
          <w:bCs w:val="false"/>
        </w:rPr>
        <w:t xml:space="preserve">The evidence is </w:t>
      </w:r>
      <w:r>
        <w:rPr>
          <w:rFonts w:ascii="Arial" w:cs="Arial" w:eastAsia="Arial" w:hAnsi="Arial"/>
          <w:b/>
          <w:bCs/>
        </w:rPr>
        <w:t xml:space="preserve">thinner than an asking-rent reading would suggest</w:t>
      </w:r>
      <w:r>
        <w:rPr>
          <w:rFonts w:ascii="Arial" w:cs="Arial" w:eastAsia="Arial" w:hAnsi="Arial"/>
          <w:b w:val="false"/>
          <w:bCs w:val="false"/>
        </w:rPr>
        <w:t xml:space="preserve">, and this report does not overstate it. The </w:t>
      </w:r>
      <w:r>
        <w:rPr>
          <w:rFonts w:ascii="Arial" w:cs="Arial" w:eastAsia="Arial" w:hAnsi="Arial"/>
          <w:b/>
          <w:bCs/>
        </w:rPr>
        <w:t xml:space="preserve">only closed Amagansett food-service lease</w:t>
      </w:r>
      <w:r>
        <w:rPr>
          <w:rFonts w:ascii="Arial" w:cs="Arial" w:eastAsia="Arial" w:hAnsi="Arial"/>
          <w:b w:val="false"/>
          <w:bCs w:val="false"/>
        </w:rPr>
        <w:t xml:space="preserve"> in the record, 2095 Montauk Highway on the Napeague stretch, rented in June 2025 at </w:t>
      </w:r>
      <w:r>
        <w:rPr>
          <w:rFonts w:ascii="Arial" w:cs="Arial" w:eastAsia="Arial" w:hAnsi="Arial"/>
          <w:b/>
          <w:bCs/>
        </w:rPr>
        <w:t xml:space="preserve">$180,000 base plus $40,000 NNN, about $40.21/SF base</w:t>
      </w:r>
      <w:r>
        <w:rPr>
          <w:rFonts w:ascii="Arial" w:cs="Arial" w:eastAsia="Arial" w:hAnsi="Arial"/>
          <w:b w:val="false"/>
          <w:bCs w:val="false"/>
        </w:rPr>
        <w:t xml:space="preserve">, for a 4,476 SF off-core white box with an apartment, and Compass flags the closed price as "Unverified" [42]. The two Amagansett asks that bracket the market have sat </w:t>
      </w:r>
      <w:r>
        <w:rPr>
          <w:rFonts w:ascii="Arial" w:cs="Arial" w:eastAsia="Arial" w:hAnsi="Arial"/>
          <w:b/>
          <w:bCs/>
        </w:rPr>
        <w:t xml:space="preserve">194 to 547 days without a price cut</w:t>
      </w:r>
      <w:r>
        <w:rPr>
          <w:rFonts w:ascii="Arial" w:cs="Arial" w:eastAsia="Arial" w:hAnsi="Arial"/>
          <w:b w:val="false"/>
          <w:bCs w:val="false"/>
        </w:rPr>
        <w:t xml:space="preserve"> [28][33][34]. The subject also has genuine physical limitations that the market would price: a kitchen "not much bigger than a bathroom," a wood building that "had problems," no on-site parking and an undersized lot [18][6]. After adjusting for these factors, the comparables support a market rent well below the raw $65–$85/SF Amagansett asks. Trophy retail (East Hampton Village at $145–$154/SF NNN, 136 Main Street Unit 1 at $192/SF, Sag Harbor small units at $161–$240/SF) is excluded from the conclusion except as an outer ceiling.</w:t>
      </w:r>
    </w:p>
    <w:p>
      <w:pPr>
        <w:keepNext w:val="false"/>
        <w:spacing w:after="140" w:line="276"/>
      </w:pPr>
      <w:r>
        <w:rPr>
          <w:rFonts w:ascii="Arial" w:cs="Arial" w:eastAsia="Arial" w:hAnsi="Arial"/>
          <w:b/>
          <w:bCs/>
        </w:rPr>
        <w:t xml:space="preserve">Negotiating implication:</w:t>
      </w:r>
      <w:r>
        <w:rPr>
          <w:rFonts w:ascii="Arial" w:cs="Arial" w:eastAsia="Arial" w:hAnsi="Arial"/>
          <w:b w:val="false"/>
          <w:bCs w:val="false"/>
        </w:rPr>
        <w:t xml:space="preserve"> the evidence identifies no market-rent factor that would justify a </w:t>
      </w:r>
      <w:r>
        <w:rPr>
          <w:rFonts w:ascii="Arial" w:cs="Arial" w:eastAsia="Arial" w:hAnsi="Arial"/>
          <w:b/>
          <w:bCs/>
        </w:rPr>
        <w:t xml:space="preserve">permanent</w:t>
      </w:r>
      <w:r>
        <w:rPr>
          <w:rFonts w:ascii="Arial" w:cs="Arial" w:eastAsia="Arial" w:hAnsi="Arial"/>
          <w:b w:val="false"/>
          <w:bCs w:val="false"/>
        </w:rPr>
        <w:t xml:space="preserve"> reduction below $5,000/month. The conservative, midpoint and aggressive market positions are </w:t>
      </w:r>
      <w:r>
        <w:rPr>
          <w:rFonts w:ascii="Arial" w:cs="Arial" w:eastAsia="Arial" w:hAnsi="Arial"/>
          <w:b/>
          <w:bCs/>
        </w:rPr>
        <w:t xml:space="preserve">$5,500, $6,050 and $7,000/month</w:t>
      </w:r>
      <w:r>
        <w:rPr>
          <w:rFonts w:ascii="Arial" w:cs="Arial" w:eastAsia="Arial" w:hAnsi="Arial"/>
          <w:b w:val="false"/>
          <w:bCs w:val="false"/>
        </w:rPr>
        <w:t xml:space="preserve"> respectively. Any relief the landlord chooses to grant is better framed as temporary, documented tenant-economics relief (deferral with payback, tied to financial disclosure) than as a market reset. </w:t>
      </w:r>
      <w:r>
        <w:rPr>
          <w:rFonts w:ascii="Arial" w:cs="Arial" w:eastAsia="Arial" w:hAnsi="Arial"/>
          <w:b/>
          <w:bCs/>
        </w:rPr>
        <w:t xml:space="preserve">Confidence is Low</w:t>
      </w:r>
      <w:r>
        <w:rPr>
          <w:rFonts w:ascii="Arial" w:cs="Arial" w:eastAsia="Arial" w:hAnsi="Arial"/>
          <w:b w:val="false"/>
          <w:bCs w:val="false"/>
        </w:rPr>
        <w:t xml:space="preserve"> on the precise dollar range and higher on the direction of the finding.</w:t>
      </w:r>
    </w:p>
    <w:p>
      <w:pPr>
        <w:pStyle w:val="Heading1"/>
      </w:pPr>
      <w:bookmarkStart w:name="sec2" w:id="102"/>
      <w:r>
        <w:t xml:space="preserve">Subject Property</w:t>
      </w:r>
      <w:bookmarkEnd w:id="102"/>
    </w:p>
    <w:p>
      <w:pPr>
        <w:keepNext/>
        <w:spacing w:after="140" w:line="276"/>
      </w:pPr>
      <w:r>
        <w:rPr>
          <w:rFonts w:ascii="Arial" w:cs="Arial" w:eastAsia="Arial" w:hAnsi="Arial"/>
          <w:b w:val="false"/>
          <w:bCs w:val="false"/>
        </w:rPr>
        <w:t xml:space="preserve">The subject is a one-story, wood-frame historic storefront on the north side of Main Street (NY-27) in the Amagansett commercial core. It sits between Amagansett Wine &amp; Spirits at 203 Main Street (same owner) and the Town-owned municipal parking lot at 209 Main Street [2]. Each client-specified item is addressed below; "Unknown" means no source in the record establishes the fact.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6048"/>
        <w:gridCol w:w="2016"/>
      </w:tblGrid>
      <w:tr>
        <w:trPr>
          <w:cantSplit/>
          <w:tblHeader/>
        </w:trPr>
        <w:tc>
          <w:tcPr>
            <w:tcW w:type="dxa" w:w="2016"/>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7"/>
                <w:szCs w:val="17"/>
              </w:rPr>
              <w:t xml:space="preserve">Item</w:t>
            </w:r>
          </w:p>
        </w:tc>
        <w:tc>
          <w:tcPr>
            <w:tcW w:type="dxa" w:w="6048"/>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7"/>
                <w:szCs w:val="17"/>
              </w:rPr>
              <w:t xml:space="preserve">Finding</w:t>
            </w:r>
          </w:p>
        </w:tc>
        <w:tc>
          <w:tcPr>
            <w:tcW w:type="dxa" w:w="2016"/>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7"/>
                <w:szCs w:val="17"/>
              </w:rPr>
              <w:t xml:space="preserve">Label / grade</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Parcel ID</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SCTM 300-171-1-18 (print key 171.-1-18), SWIS 472489, Amagansett school district [1][7]</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Government record, A</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Owner of record</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"Amagansett Associates," 146 Oxford Blvd, Garden City, NY 11530, every roll year 2021–2025; the same entity owns 203 Main Street [1][2]</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A</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Property class</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483, "Converted Residence" (not 421 Restaurant) [1]</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A</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Assessed value</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$1,100 land / $3,925 total, unchanged 2021–2025 [1]; PropertyShark's equalized "market value" is $1,226,562 for 2025-26, a statistical figure, not an appraisal [3]</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A (AV); D (equalized value)</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Real estate taxes</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About </w:t>
            </w:r>
            <w:r>
              <w:rPr>
                <w:rFonts w:ascii="Arial" w:cs="Arial" w:eastAsia="Arial" w:hAnsi="Arial"/>
                <w:b/>
                <w:bCs/>
                <w:sz w:val="17"/>
                <w:szCs w:val="17"/>
              </w:rPr>
              <w:t xml:space="preserve">$3,261 for 2025-26</w:t>
            </w:r>
            <w:r>
              <w:rPr>
                <w:rFonts w:ascii="Arial" w:cs="Arial" w:eastAsia="Arial" w:hAnsi="Arial"/>
                <w:b w:val="false"/>
                <w:bCs w:val="false"/>
                <w:sz w:val="17"/>
                <w:szCs w:val="17"/>
              </w:rPr>
              <w:t xml:space="preserve"> (rate 830.88), up from $2,511 in 2016-17 [3]; </w:t>
            </w:r>
            <w:r>
              <w:rPr>
                <w:rFonts w:ascii="Arial" w:cs="Arial" w:eastAsia="Arial" w:hAnsi="Arial"/>
                <w:b/>
                <w:bCs/>
                <w:sz w:val="17"/>
                <w:szCs w:val="17"/>
              </w:rPr>
              <w:t xml:space="preserve">about $2.96/SF</w:t>
            </w:r>
            <w:r>
              <w:rPr>
                <w:rFonts w:ascii="Arial" w:cs="Arial" w:eastAsia="Arial" w:hAnsi="Arial"/>
                <w:b w:val="false"/>
                <w:bCs w:val="false"/>
                <w:sz w:val="17"/>
                <w:szCs w:val="17"/>
              </w:rPr>
              <w:t xml:space="preserve"> at 1,100 SF (ESTIMATE)</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D; Town tax bill not obtained</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Lot size</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0.05 acre, about 2,178 SF</w:t>
            </w:r>
            <w:r>
              <w:rPr>
                <w:rFonts w:ascii="Arial" w:cs="Arial" w:eastAsia="Arial" w:hAnsi="Arial"/>
                <w:b w:val="false"/>
                <w:bCs w:val="false"/>
                <w:sz w:val="17"/>
                <w:szCs w:val="17"/>
              </w:rPr>
              <w:t xml:space="preserve"> [3][11]; because the acreage is rounded, the true lot could be roughly 1,960–2,370 SF (ESTIMATE). Below the CB minimum lot area of 3,000 SF [6]</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D / C; zoning A</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Building SF</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About 1,100 SF, one story</w:t>
            </w:r>
            <w:r>
              <w:rPr>
                <w:rFonts w:ascii="Arial" w:cs="Arial" w:eastAsia="Arial" w:hAnsi="Arial"/>
                <w:b w:val="false"/>
                <w:bCs w:val="false"/>
                <w:sz w:val="17"/>
                <w:szCs w:val="17"/>
              </w:rPr>
              <w:t xml:space="preserve"> [9][10][18]. Every source traces to the </w:t>
            </w:r>
            <w:r>
              <w:rPr>
                <w:rFonts w:ascii="Arial" w:cs="Arial" w:eastAsia="Arial" w:hAnsi="Arial"/>
                <w:b/>
                <w:bCs/>
                <w:sz w:val="17"/>
                <w:szCs w:val="17"/>
              </w:rPr>
              <w:t xml:space="preserve">2016 Douglas Elliman listing</w:t>
            </w:r>
            <w:r>
              <w:rPr>
                <w:rFonts w:ascii="Arial" w:cs="Arial" w:eastAsia="Arial" w:hAnsi="Arial"/>
                <w:b w:val="false"/>
                <w:bCs w:val="false"/>
                <w:sz w:val="17"/>
                <w:szCs w:val="17"/>
              </w:rPr>
              <w:t xml:space="preserve"> (quoted verbatim by Patch: "The one story building is 1100 sf") [9] and the former operator's memoir ("tiny 1,100-square-foot building") [18]. </w:t>
            </w:r>
            <w:r>
              <w:rPr>
                <w:rFonts w:ascii="Arial" w:cs="Arial" w:eastAsia="Arial" w:hAnsi="Arial"/>
                <w:b/>
                <w:bCs/>
                <w:sz w:val="17"/>
                <w:szCs w:val="17"/>
              </w:rPr>
              <w:t xml:space="preserve">No government record confirms it:</w:t>
            </w:r>
            <w:r>
              <w:rPr>
                <w:rFonts w:ascii="Arial" w:cs="Arial" w:eastAsia="Arial" w:hAnsi="Arial"/>
                <w:b w:val="false"/>
                <w:bCs w:val="false"/>
                <w:sz w:val="17"/>
                <w:szCs w:val="17"/>
              </w:rPr>
              <w:t xml:space="preserve"> the NYS roll has no building-area field and records frontage and depth as 0 [1]; PropertyShark shows building size "not shown" [3]. Consistency check: the CB district caps building coverage at </w:t>
            </w:r>
            <w:r>
              <w:rPr>
                <w:rFonts w:ascii="Arial" w:cs="Arial" w:eastAsia="Arial" w:hAnsi="Arial"/>
                <w:b/>
                <w:bCs/>
                <w:sz w:val="17"/>
                <w:szCs w:val="17"/>
              </w:rPr>
              <w:t xml:space="preserve">50%</w:t>
            </w:r>
            <w:r>
              <w:rPr>
                <w:rFonts w:ascii="Arial" w:cs="Arial" w:eastAsia="Arial" w:hAnsi="Arial"/>
                <w:b w:val="false"/>
                <w:bCs w:val="false"/>
                <w:sz w:val="17"/>
                <w:szCs w:val="17"/>
              </w:rPr>
              <w:t xml:space="preserve"> [6]; 50% of 2,178 SF is about 1,089 SF, so a 1,100 SF footprint is at or near the cap and a materially larger one-story building is unlikely unless pre-existing and nonconforming (ESTIMATE)</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B (listing), C (memoir); unverified</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Rentable / usable SF</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Unknown.</w:t>
            </w:r>
            <w:r>
              <w:rPr>
                <w:rFonts w:ascii="Arial" w:cs="Arial" w:eastAsia="Arial" w:hAnsi="Arial"/>
                <w:b w:val="false"/>
                <w:bCs w:val="false"/>
                <w:sz w:val="17"/>
                <w:szCs w:val="17"/>
              </w:rPr>
              <w:t xml:space="preserve"> No gross, rentable or usable figure is separately stated anywhere</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Unknown</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Main Street frontage</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Unknown</w:t>
            </w:r>
            <w:r>
              <w:rPr>
                <w:rFonts w:ascii="Arial" w:cs="Arial" w:eastAsia="Arial" w:hAnsi="Arial"/>
                <w:b w:val="false"/>
                <w:bCs w:val="false"/>
                <w:sz w:val="17"/>
                <w:szCs w:val="17"/>
              </w:rPr>
              <w:t xml:space="preserve"> in feet (roll records 0) [1]. Described as a "corner storefront" with "two large pane-glass windows" [18]</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C</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Parking</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No on-site parking documented.</w:t>
            </w:r>
            <w:r>
              <w:rPr>
                <w:rFonts w:ascii="Arial" w:cs="Arial" w:eastAsia="Arial" w:hAnsi="Arial"/>
                <w:b w:val="false"/>
                <w:bCs w:val="false"/>
                <w:sz w:val="17"/>
                <w:szCs w:val="17"/>
              </w:rPr>
              <w:t xml:space="preserve"> The adjoining parcel at 209 Main is Town-owned, class 653 "Parking Lots" [2]. A 2020 Town plan called for reconfiguring the lot to </w:t>
            </w:r>
            <w:r>
              <w:rPr>
                <w:rFonts w:ascii="Arial" w:cs="Arial" w:eastAsia="Arial" w:hAnsi="Arial"/>
                <w:b/>
                <w:bCs/>
                <w:sz w:val="17"/>
                <w:szCs w:val="17"/>
              </w:rPr>
              <w:t xml:space="preserve">about 185 spaces</w:t>
            </w:r>
            <w:r>
              <w:rPr>
                <w:rFonts w:ascii="Arial" w:cs="Arial" w:eastAsia="Arial" w:hAnsi="Arial"/>
                <w:b w:val="false"/>
                <w:bCs w:val="false"/>
                <w:sz w:val="17"/>
                <w:szCs w:val="17"/>
              </w:rPr>
              <w:t xml:space="preserve"> with 30-minute, 2-hour and 24-hour limits [25]; completion not verified in an A–C source. More public parking is planned on the adjoining Field property [114]</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A (adjacency); C (capacity)</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Patio / outdoor seating</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Yes:</w:t>
            </w:r>
            <w:r>
              <w:rPr>
                <w:rFonts w:ascii="Arial" w:cs="Arial" w:eastAsia="Arial" w:hAnsi="Arial"/>
                <w:b w:val="false"/>
                <w:bCs w:val="false"/>
                <w:sz w:val="17"/>
                <w:szCs w:val="17"/>
              </w:rPr>
              <w:t xml:space="preserve"> "Outdoors feature patio space for customers to enjoy" [9]. Patio area and approved seat count: </w:t>
            </w:r>
            <w:r>
              <w:rPr>
                <w:rFonts w:ascii="Arial" w:cs="Arial" w:eastAsia="Arial" w:hAnsi="Arial"/>
                <w:b/>
                <w:bCs/>
                <w:sz w:val="17"/>
                <w:szCs w:val="17"/>
              </w:rPr>
              <w:t xml:space="preserve">Unknown</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B</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Kitchen</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Yes:</w:t>
            </w:r>
            <w:r>
              <w:rPr>
                <w:rFonts w:ascii="Arial" w:cs="Arial" w:eastAsia="Arial" w:hAnsi="Arial"/>
                <w:b w:val="false"/>
                <w:bCs w:val="false"/>
                <w:sz w:val="17"/>
                <w:szCs w:val="17"/>
              </w:rPr>
              <w:t xml:space="preserve"> "Interior space is retail and kitchen" [9]; the former operator called it "a kitchen not much bigger than a bathroom" [18]; Organic Krush added "new kitchen efficiencies" in 2020 [20]. Hood, grease trap and sanitary-flow capacity: </w:t>
            </w:r>
            <w:r>
              <w:rPr>
                <w:rFonts w:ascii="Arial" w:cs="Arial" w:eastAsia="Arial" w:hAnsi="Arial"/>
                <w:b/>
                <w:bCs/>
                <w:sz w:val="17"/>
                <w:szCs w:val="17"/>
              </w:rPr>
              <w:t xml:space="preserve">Unknown</w:t>
            </w:r>
            <w:r>
              <w:rPr>
                <w:rFonts w:ascii="Arial" w:cs="Arial" w:eastAsia="Arial" w:hAnsi="Arial"/>
                <w:b w:val="false"/>
                <w:bCs w:val="false"/>
                <w:sz w:val="17"/>
                <w:szCs w:val="17"/>
              </w:rPr>
              <w:t xml:space="preserve">. Equipment ownership today: </w:t>
            </w:r>
            <w:r>
              <w:rPr>
                <w:rFonts w:ascii="Arial" w:cs="Arial" w:eastAsia="Arial" w:hAnsi="Arial"/>
                <w:b/>
                <w:bCs/>
                <w:sz w:val="17"/>
                <w:szCs w:val="17"/>
              </w:rPr>
              <w:t xml:space="preserve">Unknown</w:t>
            </w:r>
            <w:r>
              <w:rPr>
                <w:rFonts w:ascii="Arial" w:cs="Arial" w:eastAsia="Arial" w:hAnsi="Arial"/>
                <w:b w:val="false"/>
                <w:bCs w:val="false"/>
                <w:sz w:val="17"/>
                <w:szCs w:val="17"/>
              </w:rPr>
              <w:t xml:space="preserve"> (the 2017 assignment conveyed "existing equipment" to the assignee [9])</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B / C</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HVAC</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Unknown</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Unknown</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Basement / storage</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Basement: </w:t>
            </w:r>
            <w:r>
              <w:rPr>
                <w:rFonts w:ascii="Arial" w:cs="Arial" w:eastAsia="Arial" w:hAnsi="Arial"/>
                <w:b/>
                <w:bCs/>
                <w:sz w:val="17"/>
                <w:szCs w:val="17"/>
              </w:rPr>
              <w:t xml:space="preserve">Unknown</w:t>
            </w:r>
            <w:r>
              <w:rPr>
                <w:rFonts w:ascii="Arial" w:cs="Arial" w:eastAsia="Arial" w:hAnsi="Arial"/>
                <w:b w:val="false"/>
                <w:bCs w:val="false"/>
                <w:sz w:val="17"/>
                <w:szCs w:val="17"/>
              </w:rPr>
              <w:t xml:space="preserve"> (no source mentions one). Storage: "additional exterior storage space" [9]</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B</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Zoning</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Central Business (CB), highly probable but not confirmed on a zoning map.</w:t>
            </w:r>
            <w:r>
              <w:rPr>
                <w:rFonts w:ascii="Arial" w:cs="Arial" w:eastAsia="Arial" w:hAnsi="Arial"/>
                <w:b w:val="false"/>
                <w:bCs w:val="false"/>
                <w:sz w:val="17"/>
                <w:szCs w:val="17"/>
              </w:rPr>
              <w:t xml:space="preserve"> The Town lists 207 among "the nine historic commercial buildings in the Central Business District" [4], and the adjoining 177 Main Street is confirmed "CB: Central Business" [7]</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A (by inference)</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Permitted restaurant use</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Town Code § 255-11-10 use table (version dated 09-01-2018): </w:t>
            </w:r>
            <w:r>
              <w:rPr>
                <w:rFonts w:ascii="Arial" w:cs="Arial" w:eastAsia="Arial" w:hAnsi="Arial"/>
                <w:b/>
                <w:bCs/>
                <w:sz w:val="17"/>
                <w:szCs w:val="17"/>
              </w:rPr>
              <w:t xml:space="preserve">Restaurant = P; Take-out food store = P; Retail store = P; Fast-food restaurant or drive-in = SP</w:t>
            </w:r>
            <w:r>
              <w:rPr>
                <w:rFonts w:ascii="Arial" w:cs="Arial" w:eastAsia="Arial" w:hAnsi="Arial"/>
                <w:b w:val="false"/>
                <w:bCs w:val="false"/>
                <w:sz w:val="17"/>
                <w:szCs w:val="17"/>
              </w:rPr>
              <w:t xml:space="preserve"> in CB [5]. The 2026 text was not verified. The space was marketed as "one of a finite number of permitted 'wet uses' in East Hampton Town" [10]</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A (2018 table); B (wet-use statement)</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Historic status</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Town Code ch. 255, Appendix A, </w:t>
            </w:r>
            <w:r>
              <w:rPr>
                <w:rFonts w:ascii="Arial" w:cs="Arial" w:eastAsia="Arial" w:hAnsi="Arial"/>
                <w:b/>
                <w:bCs/>
                <w:sz w:val="17"/>
                <w:szCs w:val="17"/>
              </w:rPr>
              <w:t xml:space="preserve">§ A-5(C)(1)</w:t>
            </w:r>
            <w:r>
              <w:rPr>
                <w:rFonts w:ascii="Arial" w:cs="Arial" w:eastAsia="Arial" w:hAnsi="Arial"/>
                <w:b w:val="false"/>
                <w:bCs w:val="false"/>
                <w:sz w:val="17"/>
                <w:szCs w:val="17"/>
              </w:rPr>
              <w:t xml:space="preserve"> lists "207 Main Street, First Great Atlantic and Pacific Tea Company (The Coach Factory Store)" as one of nine historic commercial buildings; original storefronts, materials and details "should be retained," and alterations go to the Architectural Review Board (ARB) [4][7]. Year built: </w:t>
            </w:r>
            <w:r>
              <w:rPr>
                <w:rFonts w:ascii="Arial" w:cs="Arial" w:eastAsia="Arial" w:hAnsi="Arial"/>
                <w:b/>
                <w:bCs/>
                <w:sz w:val="17"/>
                <w:szCs w:val="17"/>
              </w:rPr>
              <w:t xml:space="preserve">Unknown</w:t>
            </w:r>
            <w:r>
              <w:rPr>
                <w:rFonts w:ascii="Arial" w:cs="Arial" w:eastAsia="Arial" w:hAnsi="Arial"/>
                <w:b w:val="false"/>
                <w:bCs w:val="false"/>
                <w:sz w:val="17"/>
                <w:szCs w:val="17"/>
              </w:rPr>
              <w:t xml:space="preserve">; pre-1950 construction is implied because the guidelines treat post-1950 buildings as nonhistoric [4]</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A</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Visibility / signage</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Main Street core frontage next to the Town lot and the library [2]; the hamlet's commercial development "has been concentrated on the north side of Main Street in the vicinity of the town parking lot" [4]. "Internally illuminated signs are not appropriate"; signage and paint go to the ARB [4][7]</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A</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Condition</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Former operator (2002–2017): "The building had problems. Real ones." "We were always repairing something" [18]; cosmetic refresh in 2020 [20]. </w:t>
            </w:r>
            <w:r>
              <w:rPr>
                <w:rFonts w:ascii="Arial" w:cs="Arial" w:eastAsia="Arial" w:hAnsi="Arial"/>
                <w:b/>
                <w:bCs/>
                <w:sz w:val="17"/>
                <w:szCs w:val="17"/>
              </w:rPr>
              <w:t xml:space="preserve">Current condition: Unknown</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C</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NNN vs gross</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Unknown</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Unknown</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Who pays taxes / CAM / insurance / utilities</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Unknown</w:t>
            </w:r>
            <w:r>
              <w:rPr>
                <w:rFonts w:ascii="Arial" w:cs="Arial" w:eastAsia="Arial" w:hAnsi="Arial"/>
                <w:b w:val="false"/>
                <w:bCs w:val="false"/>
                <w:sz w:val="17"/>
                <w:szCs w:val="17"/>
              </w:rPr>
              <w:t xml:space="preserve"> for each</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Unknown</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Existing lease</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$5,000/month (client-provided). Commencement, expiry, options, escalations, repair allocation and guaranty: </w:t>
            </w:r>
            <w:r>
              <w:rPr>
                <w:rFonts w:ascii="Arial" w:cs="Arial" w:eastAsia="Arial" w:hAnsi="Arial"/>
                <w:b/>
                <w:bCs/>
                <w:sz w:val="17"/>
                <w:szCs w:val="17"/>
              </w:rPr>
              <w:t xml:space="preserve">Unknown</w:t>
            </w:r>
            <w:r>
              <w:rPr>
                <w:rFonts w:ascii="Arial" w:cs="Arial" w:eastAsia="Arial" w:hAnsi="Arial"/>
                <w:b w:val="false"/>
                <w:bCs w:val="false"/>
                <w:sz w:val="17"/>
                <w:szCs w:val="17"/>
              </w:rPr>
              <w:t xml:space="preserve">. Public record shows only a "long-term lease" assigned in 2017 [15]</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Client; B</w:t>
            </w:r>
          </w:p>
        </w:tc>
      </w:tr>
      <w:tr>
        <w:trPr>
          <w:cantSplit/>
          <w:tblHeader w:val="false"/>
        </w:trPr>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7"/>
                <w:szCs w:val="17"/>
              </w:rPr>
              <w:t xml:space="preserve">Current operation</w:t>
            </w:r>
          </w:p>
        </w:tc>
        <w:tc>
          <w:tcPr>
            <w:tcW w:type="dxa" w:w="604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Organic Krush, which opened in June 2017 intending to trade seven days a week, year-round [19]; posted hours now Friday–Monday 8am–5pm, closed Tuesday–Thursday [22][23]; seasonal winter closures in 2019, 2023 and 2025 [121][24][122]; chain now lists five stores [21]</w:t>
            </w:r>
          </w:p>
        </w:tc>
        <w:tc>
          <w:tcPr>
            <w:tcW w:type="dxa" w:w="2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7"/>
                <w:szCs w:val="17"/>
              </w:rPr>
              <w:t xml:space="preserve">C / D</w:t>
            </w:r>
          </w:p>
        </w:tc>
      </w:tr>
    </w:tbl>
    <w:p>
      <w:pPr>
        <w:spacing w:after="160" w:before="0"/>
      </w:pPr>
    </w:p>
    <w:p>
      <w:pPr>
        <w:keepNext w:val="false"/>
        <w:spacing w:after="140" w:line="276"/>
      </w:pPr>
      <w:r>
        <w:rPr>
          <w:rFonts w:ascii="Arial" w:cs="Arial" w:eastAsia="Arial" w:hAnsi="Arial"/>
          <w:b/>
          <w:bCs/>
        </w:rPr>
        <w:t xml:space="preserve">Area caveat.</w:t>
      </w:r>
      <w:r>
        <w:rPr>
          <w:rFonts w:ascii="Arial" w:cs="Arial" w:eastAsia="Arial" w:hAnsi="Arial"/>
          <w:b w:val="false"/>
          <w:bCs w:val="false"/>
        </w:rPr>
        <w:t xml:space="preserve"> All $/SF figures for the subject are carried at </w:t>
      </w:r>
      <w:r>
        <w:rPr>
          <w:rFonts w:ascii="Arial" w:cs="Arial" w:eastAsia="Arial" w:hAnsi="Arial"/>
          <w:b/>
          <w:bCs/>
        </w:rPr>
        <w:t xml:space="preserve">1,100 SF</w:t>
      </w:r>
      <w:r>
        <w:rPr>
          <w:rFonts w:ascii="Arial" w:cs="Arial" w:eastAsia="Arial" w:hAnsi="Arial"/>
          <w:b w:val="false"/>
          <w:bCs w:val="false"/>
        </w:rPr>
        <w:t xml:space="preserve">. Because that figure rests on a 2016 broker listing and a memoir rather than a measurement, the Sensitivity Analysis restates the subject's rent at 1,000 SF and 1,200 SF. The 50% coverage cap on a roughly 2,178 SF lot makes a materially larger footprint unlikely, but a smaller measured area (for example, if 1,100 SF includes exterior storage) is plausible.</w:t>
      </w:r>
    </w:p>
    <w:p>
      <w:pPr>
        <w:pStyle w:val="Heading1"/>
      </w:pPr>
      <w:bookmarkStart w:name="sec3" w:id="103"/>
      <w:r>
        <w:t xml:space="preserve">Current Lease Economics</w:t>
      </w:r>
      <w:bookmarkEnd w:id="10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536"/>
        <w:gridCol w:w="3024"/>
      </w:tblGrid>
      <w:tr>
        <w:trPr>
          <w:cantSplit/>
          <w:tblHeader/>
        </w:trPr>
        <w:tc>
          <w:tcPr>
            <w:tcW w:type="dxa" w:w="2520"/>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Metric</w:t>
            </w:r>
          </w:p>
        </w:tc>
        <w:tc>
          <w:tcPr>
            <w:tcW w:type="dxa" w:w="4536"/>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Value</w:t>
            </w:r>
          </w:p>
        </w:tc>
        <w:tc>
          <w:tcPr>
            <w:tcW w:type="dxa" w:w="3024"/>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Basis</w:t>
            </w:r>
          </w:p>
        </w:tc>
      </w:tr>
      <w:tr>
        <w:trPr>
          <w:cantSplit/>
          <w:tblHeader w:val="false"/>
        </w:trPr>
        <w:tc>
          <w:tcPr>
            <w:tcW w:type="dxa" w:w="252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Monthly rent</w:t>
            </w:r>
          </w:p>
        </w:tc>
        <w:tc>
          <w:tcPr>
            <w:tcW w:type="dxa" w:w="453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$5,000</w:t>
            </w:r>
          </w:p>
        </w:tc>
        <w:tc>
          <w:tcPr>
            <w:tcW w:type="dxa" w:w="302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Client-provided</w:t>
            </w:r>
          </w:p>
        </w:tc>
      </w:tr>
      <w:tr>
        <w:trPr>
          <w:cantSplit/>
          <w:tblHeader w:val="false"/>
        </w:trPr>
        <w:tc>
          <w:tcPr>
            <w:tcW w:type="dxa" w:w="252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Annual rent</w:t>
            </w:r>
          </w:p>
        </w:tc>
        <w:tc>
          <w:tcPr>
            <w:tcW w:type="dxa" w:w="453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$60,000</w:t>
            </w:r>
          </w:p>
        </w:tc>
        <w:tc>
          <w:tcPr>
            <w:tcW w:type="dxa" w:w="302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Calculation</w:t>
            </w:r>
          </w:p>
        </w:tc>
      </w:tr>
      <w:tr>
        <w:trPr>
          <w:cantSplit/>
          <w:tblHeader w:val="false"/>
        </w:trPr>
        <w:tc>
          <w:tcPr>
            <w:tcW w:type="dxa" w:w="252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Rent per SF per year</w:t>
            </w:r>
          </w:p>
        </w:tc>
        <w:tc>
          <w:tcPr>
            <w:tcW w:type="dxa" w:w="453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$54.55</w:t>
            </w:r>
            <w:r>
              <w:rPr>
                <w:rFonts w:ascii="Arial" w:cs="Arial" w:eastAsia="Arial" w:hAnsi="Arial"/>
                <w:b w:val="false"/>
                <w:bCs w:val="false"/>
                <w:sz w:val="18"/>
                <w:szCs w:val="18"/>
              </w:rPr>
              <w:t xml:space="preserve"> at 1,100 SF ($60.00 at 1,000 SF; $50.00 at 1,200 SF)</w:t>
            </w:r>
          </w:p>
        </w:tc>
        <w:tc>
          <w:tcPr>
            <w:tcW w:type="dxa" w:w="302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ESTIMATE (area unverified)</w:t>
            </w:r>
          </w:p>
        </w:tc>
      </w:tr>
      <w:tr>
        <w:trPr>
          <w:cantSplit/>
          <w:tblHeader w:val="false"/>
        </w:trPr>
        <w:tc>
          <w:tcPr>
            <w:tcW w:type="dxa" w:w="252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Lease type</w:t>
            </w:r>
          </w:p>
        </w:tc>
        <w:tc>
          <w:tcPr>
            <w:tcW w:type="dxa" w:w="453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Unknown</w:t>
            </w:r>
            <w:r>
              <w:rPr>
                <w:rFonts w:ascii="Arial" w:cs="Arial" w:eastAsia="Arial" w:hAnsi="Arial"/>
                <w:b w:val="false"/>
                <w:bCs w:val="false"/>
                <w:sz w:val="18"/>
                <w:szCs w:val="18"/>
              </w:rPr>
              <w:t xml:space="preserve"> (gross, modified gross or NNN)</w:t>
            </w:r>
          </w:p>
        </w:tc>
        <w:tc>
          <w:tcPr>
            <w:tcW w:type="dxa" w:w="302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Unknown</w:t>
            </w:r>
          </w:p>
        </w:tc>
      </w:tr>
      <w:tr>
        <w:trPr>
          <w:cantSplit/>
          <w:tblHeader w:val="false"/>
        </w:trPr>
        <w:tc>
          <w:tcPr>
            <w:tcW w:type="dxa" w:w="252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Real estate taxes as % of rent</w:t>
            </w:r>
          </w:p>
        </w:tc>
        <w:tc>
          <w:tcPr>
            <w:tcW w:type="dxa" w:w="453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About $3,261 / $60,000 = </w:t>
            </w:r>
            <w:r>
              <w:rPr>
                <w:rFonts w:ascii="Arial" w:cs="Arial" w:eastAsia="Arial" w:hAnsi="Arial"/>
                <w:b/>
                <w:bCs/>
                <w:sz w:val="18"/>
                <w:szCs w:val="18"/>
              </w:rPr>
              <w:t xml:space="preserve">5.4%</w:t>
            </w:r>
            <w:r>
              <w:rPr>
                <w:rFonts w:ascii="Arial" w:cs="Arial" w:eastAsia="Arial" w:hAnsi="Arial"/>
                <w:b w:val="false"/>
                <w:bCs w:val="false"/>
                <w:sz w:val="18"/>
                <w:szCs w:val="18"/>
              </w:rPr>
              <w:t xml:space="preserve">; about $2.96/SF [3]</w:t>
            </w:r>
          </w:p>
        </w:tc>
        <w:tc>
          <w:tcPr>
            <w:tcW w:type="dxa" w:w="302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ESTIMATE from D-grade tax figure</w:t>
            </w:r>
          </w:p>
        </w:tc>
      </w:tr>
      <w:tr>
        <w:trPr>
          <w:cantSplit/>
          <w:tblHeader w:val="false"/>
        </w:trPr>
        <w:tc>
          <w:tcPr>
            <w:tcW w:type="dxa" w:w="252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If gross, net-equivalent rent</w:t>
            </w:r>
          </w:p>
        </w:tc>
        <w:tc>
          <w:tcPr>
            <w:tcW w:type="dxa" w:w="453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$54.55 less an assumed $7.00/SF NNN load = </w:t>
            </w:r>
            <w:r>
              <w:rPr>
                <w:rFonts w:ascii="Arial" w:cs="Arial" w:eastAsia="Arial" w:hAnsi="Arial"/>
                <w:b/>
                <w:bCs/>
                <w:sz w:val="18"/>
                <w:szCs w:val="18"/>
              </w:rPr>
              <w:t xml:space="preserve">about $47.55/SF</w:t>
            </w:r>
          </w:p>
        </w:tc>
        <w:tc>
          <w:tcPr>
            <w:tcW w:type="dxa" w:w="302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ESTIMATE (NNN load derived in Comparable Adjustments)</w:t>
            </w:r>
          </w:p>
        </w:tc>
      </w:tr>
    </w:tbl>
    <w:p>
      <w:pPr>
        <w:spacing w:after="160" w:before="0"/>
      </w:pPr>
    </w:p>
    <w:p>
      <w:pPr>
        <w:keepNext w:val="false"/>
        <w:spacing w:after="140" w:line="276"/>
      </w:pPr>
      <w:r>
        <w:rPr>
          <w:rFonts w:ascii="Arial" w:cs="Arial" w:eastAsia="Arial" w:hAnsi="Arial"/>
          <w:b/>
          <w:bCs/>
        </w:rPr>
        <w:t xml:space="preserve">The 2016–2017 lease assignment.</w:t>
      </w:r>
      <w:r>
        <w:rPr>
          <w:rFonts w:ascii="Arial" w:cs="Arial" w:eastAsia="Arial" w:hAnsi="Arial"/>
          <w:b w:val="false"/>
          <w:bCs w:val="false"/>
        </w:rPr>
        <w:t xml:space="preserve"> In December 2016 the Mary's Marvelous leasehold at 207 Main Street was publicly marketed by Douglas Elliman (Robert Kohr and Lori MacGarva). The listing text read: "This sale is 'key money' for the well established business, long term lease, and existing equipment; It does not include the business name or property" [9]. The asking key money was </w:t>
      </w:r>
      <w:r>
        <w:rPr>
          <w:rFonts w:ascii="Arial" w:cs="Arial" w:eastAsia="Arial" w:hAnsi="Arial"/>
          <w:b/>
          <w:bCs/>
        </w:rPr>
        <w:t xml:space="preserve">$625,000</w:t>
      </w:r>
      <w:r>
        <w:rPr>
          <w:rFonts w:ascii="Arial" w:cs="Arial" w:eastAsia="Arial" w:hAnsi="Arial"/>
          <w:b w:val="false"/>
          <w:bCs w:val="false"/>
        </w:rPr>
        <w:t xml:space="preserve"> [9][10][12]. Broker Kohr said "There's only so many wet use stores out there" and that the deal "is essentially the same as buying a business, not a property" [12]. By June 2017 Behind the Hedges reported that "the lease, listed for $575K, has sold" [13][14], while 27east, on the same day, cited only the original $625,000 [15]. Organic Krush's co-founder said "the deal for purchasing the space was closed on Monday, June 12, for a price that she did not wish to discuss" [15]. The </w:t>
      </w:r>
      <w:r>
        <w:rPr>
          <w:rFonts w:ascii="Arial" w:cs="Arial" w:eastAsia="Arial" w:hAnsi="Arial"/>
          <w:b/>
          <w:bCs/>
        </w:rPr>
        <w:t xml:space="preserve">closing price, contract rent, remaining term and lease type were never published.</w:t>
      </w:r>
      <w:r>
        <w:rPr>
          <w:rFonts w:ascii="Arial" w:cs="Arial" w:eastAsia="Arial" w:hAnsi="Arial"/>
          <w:b w:val="false"/>
          <w:bCs w:val="false"/>
        </w:rPr>
        <w:t xml:space="preserve"> Patch and Hamptons.com headlines describing "the property" as "sold" [16][17] mischaracterize what was a leasehold assignment; no fee transfer is recorded [3].</w:t>
      </w:r>
    </w:p>
    <w:p>
      <w:pPr>
        <w:keepNext/>
        <w:spacing w:after="140" w:line="276"/>
      </w:pPr>
      <w:r>
        <w:rPr>
          <w:rFonts w:ascii="Arial" w:cs="Arial" w:eastAsia="Arial" w:hAnsi="Arial"/>
          <w:b/>
          <w:bCs/>
        </w:rPr>
        <w:t xml:space="preserve">What the key money implies (inference, with explicit assumptions).</w:t>
      </w:r>
      <w:r>
        <w:rPr>
          <w:rFonts w:ascii="Arial" w:cs="Arial" w:eastAsia="Arial" w:hAnsi="Arial"/>
          <w:b w:val="false"/>
          <w:bCs w:val="false"/>
        </w:rPr>
        <w:t xml:space="preserve"> A buyer pays key money to step into an existing lease only if the rent is below what a new lease would cost, or if the use entitlement, equipment and going-concern value are scarce. The executed-transactions research capitalized the asking key money at an assumed 10% discount rate over assumed remaining terms; the arithmetic is reproduced here as an ESTIMATE, not a finding: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83"/>
        <w:gridCol w:w="3016"/>
        <w:gridCol w:w="2440"/>
        <w:gridCol w:w="2441"/>
      </w:tblGrid>
      <w:tr>
        <w:trPr>
          <w:cantSplit/>
          <w:tblHeader/>
        </w:trPr>
        <w:tc>
          <w:tcPr>
            <w:tcW w:type="dxa" w:w="218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Key money (ask)</w:t>
            </w:r>
          </w:p>
        </w:tc>
        <w:tc>
          <w:tcPr>
            <w:tcW w:type="dxa" w:w="3016"/>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10-year remaining term</w:t>
            </w:r>
          </w:p>
        </w:tc>
        <w:tc>
          <w:tcPr>
            <w:tcW w:type="dxa" w:w="2440"/>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15-year</w:t>
            </w:r>
          </w:p>
        </w:tc>
        <w:tc>
          <w:tcPr>
            <w:tcW w:type="dxa" w:w="2441"/>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20-year</w:t>
            </w:r>
          </w:p>
        </w:tc>
      </w:tr>
      <w:tr>
        <w:trPr>
          <w:cantSplit/>
          <w:tblHeader w:val="false"/>
        </w:trPr>
        <w:tc>
          <w:tcPr>
            <w:tcW w:type="dxa" w:w="218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$575,000 [13]</w:t>
            </w:r>
          </w:p>
        </w:tc>
        <w:tc>
          <w:tcPr>
            <w:tcW w:type="dxa" w:w="3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$93,579/yr ($7,798/mo)</w:t>
            </w:r>
          </w:p>
        </w:tc>
        <w:tc>
          <w:tcPr>
            <w:tcW w:type="dxa" w:w="244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$75,597/yr ($6,300/mo)</w:t>
            </w:r>
          </w:p>
        </w:tc>
        <w:tc>
          <w:tcPr>
            <w:tcW w:type="dxa" w:w="244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$67,539/yr ($5,628/mo)</w:t>
            </w:r>
          </w:p>
        </w:tc>
      </w:tr>
      <w:tr>
        <w:trPr>
          <w:cantSplit/>
          <w:tblHeader w:val="false"/>
        </w:trPr>
        <w:tc>
          <w:tcPr>
            <w:tcW w:type="dxa" w:w="218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$625,000 [10]</w:t>
            </w:r>
          </w:p>
        </w:tc>
        <w:tc>
          <w:tcPr>
            <w:tcW w:type="dxa" w:w="301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$101,716/yr ($8,476/mo)</w:t>
            </w:r>
          </w:p>
        </w:tc>
        <w:tc>
          <w:tcPr>
            <w:tcW w:type="dxa" w:w="244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$82,171/yr ($6,848/mo)</w:t>
            </w:r>
          </w:p>
        </w:tc>
        <w:tc>
          <w:tcPr>
            <w:tcW w:type="dxa" w:w="244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$73,412/yr ($6,118/mo)</w:t>
            </w:r>
          </w:p>
        </w:tc>
      </w:tr>
    </w:tbl>
    <w:p>
      <w:pPr>
        <w:spacing w:after="160" w:before="0"/>
      </w:pPr>
    </w:p>
    <w:p>
      <w:pPr>
        <w:keepNext w:val="false"/>
        <w:spacing w:after="140" w:line="276"/>
      </w:pPr>
      <w:r>
        <w:rPr>
          <w:rFonts w:ascii="Arial" w:cs="Arial" w:eastAsia="Arial" w:hAnsi="Arial"/>
          <w:b w:val="false"/>
          <w:bCs w:val="false"/>
        </w:rPr>
        <w:t xml:space="preserve">These figures are a </w:t>
      </w:r>
      <w:r>
        <w:rPr>
          <w:rFonts w:ascii="Arial" w:cs="Arial" w:eastAsia="Arial" w:hAnsi="Arial"/>
          <w:b/>
          <w:bCs/>
        </w:rPr>
        <w:t xml:space="preserve">loose upper bound</w:t>
      </w:r>
      <w:r>
        <w:rPr>
          <w:rFonts w:ascii="Arial" w:cs="Arial" w:eastAsia="Arial" w:hAnsi="Arial"/>
          <w:b w:val="false"/>
          <w:bCs w:val="false"/>
        </w:rPr>
        <w:t xml:space="preserve"> on the 2017 gap between contract rent and market rent. Part of the payment bought used equipment, part bought the business's goodwill, and part bought the scarce wet-use status. Taken literally they would imply a 2017 market rent far above any current comparable, which itself shows that the key money was not a pure rent differential. The defensible conclusion is directional: </w:t>
      </w:r>
      <w:r>
        <w:rPr>
          <w:rFonts w:ascii="Arial" w:cs="Arial" w:eastAsia="Arial" w:hAnsi="Arial"/>
          <w:b/>
          <w:bCs/>
        </w:rPr>
        <w:t xml:space="preserve">in 2016–2017 informed buyers valued this leasehold above its contract rent.</w:t>
      </w:r>
      <w:r>
        <w:rPr>
          <w:rFonts w:ascii="Arial" w:cs="Arial" w:eastAsia="Arial" w:hAnsi="Arial"/>
          <w:b w:val="false"/>
          <w:bCs w:val="false"/>
        </w:rPr>
        <w:t xml:space="preserve"> The illustration is not used in the market-rent calculation.</w:t>
      </w:r>
    </w:p>
    <w:p>
      <w:pPr>
        <w:keepNext w:val="false"/>
        <w:spacing w:after="140" w:line="276"/>
      </w:pPr>
      <w:r>
        <w:rPr>
          <w:rFonts w:ascii="Arial" w:cs="Arial" w:eastAsia="Arial" w:hAnsi="Arial"/>
          <w:b/>
          <w:bCs/>
        </w:rPr>
        <w:t xml:space="preserve">Is today's $5,000 the same lease?</w:t>
      </w:r>
      <w:r>
        <w:rPr>
          <w:rFonts w:ascii="Arial" w:cs="Arial" w:eastAsia="Arial" w:hAnsi="Arial"/>
          <w:b w:val="false"/>
          <w:bCs w:val="false"/>
        </w:rPr>
        <w:t xml:space="preserve"> </w:t>
      </w:r>
      <w:r>
        <w:rPr>
          <w:rFonts w:ascii="Arial" w:cs="Arial" w:eastAsia="Arial" w:hAnsi="Arial"/>
          <w:b/>
          <w:bCs/>
        </w:rPr>
        <w:t xml:space="preserve">Unconfirmed.</w:t>
      </w:r>
      <w:r>
        <w:rPr>
          <w:rFonts w:ascii="Arial" w:cs="Arial" w:eastAsia="Arial" w:hAnsi="Arial"/>
          <w:b w:val="false"/>
          <w:bCs w:val="false"/>
        </w:rPr>
        <w:t xml:space="preserve"> No source states whether the current $5,000/month derives from the lease assigned in 2017 (possibly with escalations), from a renewal, or from a new lease. If it is the assigned legacy lease, the 2017 key money is direct evidence that it was a below-market rent stream when assigned. If it is a newer lease, the key-money evidence speaks only to 2017 conditions. The landlord's own lease file resolves this, and it should be checked before the evidence is used in negotiation.</w:t>
      </w:r>
    </w:p>
    <w:p>
      <w:pPr>
        <w:pStyle w:val="Heading1"/>
      </w:pPr>
      <w:bookmarkStart w:name="sec4" w:id="104"/>
      <w:r>
        <w:t xml:space="preserve">Amagansett Market Overview</w:t>
      </w:r>
      <w:bookmarkEnd w:id="104"/>
    </w:p>
    <w:p>
      <w:pPr>
        <w:keepNext w:val="false"/>
        <w:spacing w:after="140" w:line="276"/>
      </w:pPr>
      <w:r>
        <w:rPr>
          <w:rFonts w:ascii="Arial" w:cs="Arial" w:eastAsia="Arial" w:hAnsi="Arial"/>
          <w:b/>
          <w:bCs/>
        </w:rPr>
        <w:t xml:space="preserve">Supply is extremely thin.</w:t>
      </w:r>
      <w:r>
        <w:rPr>
          <w:rFonts w:ascii="Arial" w:cs="Arial" w:eastAsia="Arial" w:hAnsi="Arial"/>
          <w:b w:val="false"/>
          <w:bCs w:val="false"/>
        </w:rPr>
        <w:t xml:space="preserve"> As of October 7, 2026, only </w:t>
      </w:r>
      <w:r>
        <w:rPr>
          <w:rFonts w:ascii="Arial" w:cs="Arial" w:eastAsia="Arial" w:hAnsi="Arial"/>
          <w:b/>
          <w:bCs/>
        </w:rPr>
        <w:t xml:space="preserve">five verifiable current lease offerings</w:t>
      </w:r>
      <w:r>
        <w:rPr>
          <w:rFonts w:ascii="Arial" w:cs="Arial" w:eastAsia="Arial" w:hAnsi="Arial"/>
          <w:b w:val="false"/>
          <w:bCs w:val="false"/>
        </w:rPr>
        <w:t xml:space="preserve"> exist in Amagansett 11930, and three are floors of one building (11 Indian Wells Highway) [33][34][35][48]. The others are the 74A Montauk Highway restaurant [28] and 519–521 Montauk Highway, which quotes "rate upon request" and whose current status could not be verified [44][46]. The broker of record for most Amagansett offerings lists no other Amagansett lease in its 79-property sitemap [48]. The 500 SF end-cap at 136 Main Street (last ASK $96,000/year NNN, $192/SF) appears withdrawn or leased: its broker page returned 404 and it is absent from the broker's active list [39][40]. An automated LoopNet figure of "about $103 per square foot" for Amagansett retail is an aggregate of these few listings, not a comparable [49].</w:t>
      </w:r>
    </w:p>
    <w:p>
      <w:pPr>
        <w:keepNext w:val="false"/>
        <w:spacing w:after="140" w:line="276"/>
      </w:pPr>
      <w:r>
        <w:rPr>
          <w:rFonts w:ascii="Arial" w:cs="Arial" w:eastAsia="Arial" w:hAnsi="Arial"/>
          <w:b/>
          <w:bCs/>
        </w:rPr>
        <w:t xml:space="preserve">Asking-rent tiers.</w:t>
      </w:r>
      <w:r>
        <w:rPr>
          <w:rFonts w:ascii="Arial" w:cs="Arial" w:eastAsia="Arial" w:hAnsi="Arial"/>
          <w:b w:val="false"/>
          <w:bCs w:val="false"/>
        </w:rPr>
        <w:t xml:space="preserve"> Current Amagansett ASKS run from </w:t>
      </w:r>
      <w:r>
        <w:rPr>
          <w:rFonts w:ascii="Arial" w:cs="Arial" w:eastAsia="Arial" w:hAnsi="Arial"/>
          <w:b/>
          <w:bCs/>
        </w:rPr>
        <w:t xml:space="preserve">$35/SF NNN</w:t>
      </w:r>
      <w:r>
        <w:rPr>
          <w:rFonts w:ascii="Arial" w:cs="Arial" w:eastAsia="Arial" w:hAnsi="Arial"/>
          <w:b w:val="false"/>
          <w:bCs w:val="false"/>
        </w:rPr>
        <w:t xml:space="preserve"> (rear-access lower level) through </w:t>
      </w:r>
      <w:r>
        <w:rPr>
          <w:rFonts w:ascii="Arial" w:cs="Arial" w:eastAsia="Arial" w:hAnsi="Arial"/>
          <w:b/>
          <w:bCs/>
        </w:rPr>
        <w:t xml:space="preserve">$50</w:t>
      </w:r>
      <w:r>
        <w:rPr>
          <w:rFonts w:ascii="Arial" w:cs="Arial" w:eastAsia="Arial" w:hAnsi="Arial"/>
          <w:b w:val="false"/>
          <w:bCs w:val="false"/>
        </w:rPr>
        <w:t xml:space="preserve"> (second floor) and </w:t>
      </w:r>
      <w:r>
        <w:rPr>
          <w:rFonts w:ascii="Arial" w:cs="Arial" w:eastAsia="Arial" w:hAnsi="Arial"/>
          <w:b/>
          <w:bCs/>
        </w:rPr>
        <w:t xml:space="preserve">$65</w:t>
      </w:r>
      <w:r>
        <w:rPr>
          <w:rFonts w:ascii="Arial" w:cs="Arial" w:eastAsia="Arial" w:hAnsi="Arial"/>
          <w:b w:val="false"/>
          <w:bCs w:val="false"/>
        </w:rPr>
        <w:t xml:space="preserve"> (first-floor Main Street district flex) at 11 Indian Wells Highway [33][34][35] to </w:t>
      </w:r>
      <w:r>
        <w:rPr>
          <w:rFonts w:ascii="Arial" w:cs="Arial" w:eastAsia="Arial" w:hAnsi="Arial"/>
          <w:b/>
          <w:bCs/>
        </w:rPr>
        <w:t xml:space="preserve">$84.81/SF NNN plus $700,000 key money</w:t>
      </w:r>
      <w:r>
        <w:rPr>
          <w:rFonts w:ascii="Arial" w:cs="Arial" w:eastAsia="Arial" w:hAnsi="Arial"/>
          <w:b w:val="false"/>
          <w:bCs w:val="false"/>
        </w:rPr>
        <w:t xml:space="preserve"> for a 2,830 SF, 126-seat turnkey restaurant with 31 parking spaces at 74A Montauk Highway [28]. The only CLOSED food-service lease, 2095 Montauk Highway on the Napeague stretch, works out to </w:t>
      </w:r>
      <w:r>
        <w:rPr>
          <w:rFonts w:ascii="Arial" w:cs="Arial" w:eastAsia="Arial" w:hAnsi="Arial"/>
          <w:b/>
          <w:bCs/>
        </w:rPr>
        <w:t xml:space="preserve">$40.21/SF base plus $8.94/SF stated NNN</w:t>
      </w:r>
      <w:r>
        <w:rPr>
          <w:rFonts w:ascii="Arial" w:cs="Arial" w:eastAsia="Arial" w:hAnsi="Arial"/>
          <w:b w:val="false"/>
          <w:bCs w:val="false"/>
        </w:rPr>
        <w:t xml:space="preserve"> [42]. None of these is a close physical match for a 1,100 SF Main Street café; no current Main Street listing between 800 and 1,500 SF with a kitchen exists.</w:t>
      </w:r>
    </w:p>
    <w:p>
      <w:pPr>
        <w:keepNext w:val="false"/>
        <w:spacing w:after="140" w:line="276"/>
      </w:pPr>
      <w:r>
        <w:rPr>
          <w:rFonts w:ascii="Arial" w:cs="Arial" w:eastAsia="Arial" w:hAnsi="Arial"/>
          <w:b/>
          <w:bCs/>
        </w:rPr>
        <w:t xml:space="preserve">Absorption signals cut both ways.</w:t>
      </w:r>
      <w:r>
        <w:rPr>
          <w:rFonts w:ascii="Arial" w:cs="Arial" w:eastAsia="Arial" w:hAnsi="Arial"/>
          <w:b w:val="false"/>
          <w:bCs w:val="false"/>
        </w:rPr>
        <w:t xml:space="preserve"> 74A has been offered for about 194 days and 11 Indian Wells Highway for about 316 days (first floor) to 547 days (ground level), all without a visible price cut [28][29][33][34]; a Crexi snippet suggests the first floor has been marketed even longer [37]. That points to asks at or above clearing levels for those configurations. On the other side, the Amagansett food-space record shows quick re-tenanting after exits: Hampton Chutney left Amagansett Square in 2021 after a rent offer "almost triple" its old rent, and Doubles opened in the space in July 2022 [76][24]; Main Street Tavern closed in 2022 and Rowdy Hall relocated to 177 Main Street in 2023 [24][83]; and the 136 Main Street frontage filled in 2026 with Sett Coffee, Sea Dragon Books (on a two-year lease), Jamagansett and LaParlour [86].</w:t>
      </w:r>
    </w:p>
    <w:p>
      <w:pPr>
        <w:keepNext w:val="false"/>
        <w:spacing w:after="140" w:line="276"/>
      </w:pPr>
      <w:r>
        <w:rPr>
          <w:rFonts w:ascii="Arial" w:cs="Arial" w:eastAsia="Arial" w:hAnsi="Arial"/>
          <w:b/>
          <w:bCs/>
        </w:rPr>
        <w:t xml:space="preserve">Demand indicators are positive.</w:t>
      </w:r>
      <w:r>
        <w:rPr>
          <w:rFonts w:ascii="Arial" w:cs="Arial" w:eastAsia="Arial" w:hAnsi="Arial"/>
          <w:b w:val="false"/>
          <w:bCs w:val="false"/>
        </w:rPr>
        <w:t xml:space="preserve"> The East Hampton Star reported in July 2026 that Amagansett's west end, "once dead as a desert," had "come to life this summer" [86]. Town Board members in March 2026 cited "increasing foot traffic" and said "Amagansett is happening right now" [104][105]. New food and beverage entrants include Amagansett Coffee Co. (April 2026) [115] and the Meeting House reopening in Amagansett Square [119]. Region-wide, a Saunders broker said in 2026 that "Since then [COVID], the villages, particularly East Hampton and Sag Harbor, haven't had many" vacancies [100]; The Real Deal reported in 2025 that "landlords are able to choose what tenants they want because there's limited supply" [101]; and Hamptons median sale prices rose 18% in Q1 2026, with a record $39 million retail sale in May 2026 [102]. Suffolk County sales-tax receipts rose </w:t>
      </w:r>
      <w:r>
        <w:rPr>
          <w:rFonts w:ascii="Arial" w:cs="Arial" w:eastAsia="Arial" w:hAnsi="Arial"/>
          <w:b/>
          <w:bCs/>
        </w:rPr>
        <w:t xml:space="preserve">9.2%</w:t>
      </w:r>
      <w:r>
        <w:rPr>
          <w:rFonts w:ascii="Arial" w:cs="Arial" w:eastAsia="Arial" w:hAnsi="Arial"/>
          <w:b w:val="false"/>
          <w:bCs w:val="false"/>
        </w:rPr>
        <w:t xml:space="preserve"> in the first half of 2026, although the State Comptroller attributes part of that to higher prices and warns it "may not last" [103].</w:t>
      </w:r>
    </w:p>
    <w:p>
      <w:pPr>
        <w:keepNext w:val="false"/>
        <w:spacing w:after="140" w:line="276"/>
      </w:pPr>
      <w:r>
        <w:rPr>
          <w:rFonts w:ascii="Arial" w:cs="Arial" w:eastAsia="Arial" w:hAnsi="Arial"/>
          <w:b/>
          <w:bCs/>
        </w:rPr>
        <w:t xml:space="preserve">Headwinds are real but mostly operator- and industry-level.</w:t>
      </w:r>
      <w:r>
        <w:rPr>
          <w:rFonts w:ascii="Arial" w:cs="Arial" w:eastAsia="Arial" w:hAnsi="Arial"/>
          <w:b w:val="false"/>
          <w:bCs w:val="false"/>
        </w:rPr>
        <w:t xml:space="preserve"> Coche Comedor closed at 74A on September 27, 2025, with its operator saying "running a seasonal business, especially a restaurant in the Hamptons, has grown increasingly difficult" [78]. Nationally, more than 60% of restaurant operators reported traffic declines in 2025 [108]. The Long Island minimum wage rose to $17.00 in 2026 [106][107], but it will </w:t>
      </w:r>
      <w:r>
        <w:rPr>
          <w:rFonts w:ascii="Arial" w:cs="Arial" w:eastAsia="Arial" w:hAnsi="Arial"/>
          <w:b/>
          <w:bCs/>
        </w:rPr>
        <w:t xml:space="preserve">not</w:t>
      </w:r>
      <w:r>
        <w:rPr>
          <w:rFonts w:ascii="Arial" w:cs="Arial" w:eastAsia="Arial" w:hAnsi="Arial"/>
          <w:b w:val="false"/>
          <w:bCs w:val="false"/>
        </w:rPr>
        <w:t xml:space="preserve"> rise in 2027 because the statutory off-ramp was triggered [106]. Seasonality is structural: in February 2023 Organic Krush was "Closed for the winter," and an Amagansett operator described winter closure as "a really big no-brainer" given fixed costs [24].</w:t>
      </w:r>
    </w:p>
    <w:p>
      <w:pPr>
        <w:keepNext w:val="false"/>
        <w:spacing w:after="140" w:line="276"/>
      </w:pPr>
      <w:r>
        <w:rPr>
          <w:rFonts w:ascii="Arial" w:cs="Arial" w:eastAsia="Arial" w:hAnsi="Arial"/>
          <w:b/>
          <w:bCs/>
        </w:rPr>
        <w:t xml:space="preserve">Regulatory supply constraint.</w:t>
      </w:r>
      <w:r>
        <w:rPr>
          <w:rFonts w:ascii="Arial" w:cs="Arial" w:eastAsia="Arial" w:hAnsi="Arial"/>
          <w:b w:val="false"/>
          <w:bCs w:val="false"/>
        </w:rPr>
        <w:t xml:space="preserve"> The CB district and historic district restrict new commercial space; in 2022 the Planning Board found a 12-storefront proposal at 136 Main Street out of scale [123], and the Town's hamlet study recommends retaining the present CB configuration [8][124]. Restricted supply of permitted food-service premises supports market rent for existing wet-use space such as the subject [10].</w:t>
      </w:r>
    </w:p>
    <w:p>
      <w:pPr>
        <w:sectPr>
          <w:headerReference w:type="default" r:id="rId7"/>
          <w:headerReference w:type="first" r:id="rId8"/>
          <w:footerReference w:type="default" r:id="rId9"/>
          <w:footerReference w:type="first" r:id="rId10"/>
          <w:pgSz w:w="12240" w:h="15840" w:orient="portrait"/>
          <w:pgMar w:top="1260" w:right="1080" w:bottom="1080" w:left="1080" w:header="620" w:footer="560" w:gutter="0"/>
          <w:pgNumType/>
          <w:titlePg/>
          <w:docGrid w:linePitch="360"/>
        </w:sectPr>
      </w:pPr>
    </w:p>
    <w:p>
      <w:pPr>
        <w:pStyle w:val="Heading1"/>
      </w:pPr>
      <w:bookmarkStart w:name="sec5" w:id="105"/>
      <w:r>
        <w:t xml:space="preserve">Comparable Properties</w:t>
      </w:r>
      <w:bookmarkEnd w:id="105"/>
    </w:p>
    <w:p>
      <w:pPr>
        <w:keepNext w:val="false"/>
        <w:spacing w:after="140" w:line="276"/>
      </w:pPr>
      <w:r>
        <w:rPr>
          <w:rFonts w:ascii="Arial" w:cs="Arial" w:eastAsia="Arial" w:hAnsi="Arial"/>
          <w:b/>
          <w:bCs/>
        </w:rPr>
        <w:t xml:space="preserve">De-duplication and conventions.</w:t>
      </w:r>
      <w:r>
        <w:rPr>
          <w:rFonts w:ascii="Arial" w:cs="Arial" w:eastAsia="Arial" w:hAnsi="Arial"/>
          <w:b w:val="false"/>
          <w:bCs w:val="false"/>
        </w:rPr>
        <w:t xml:space="preserve"> Syndicated copies of the same listing (HCRE, Compass, Saunders, LoopNet, Crexi, CityFeet, Realmo) are collapsed into one row. Each row is labelled ASK, CLOSED, EXECUTED or HISTORICAL. "$/SF/yr" is annual base rent divided by stated SF (calculation). "Effective $/SF (gross-equivalent)" adds the stated NNN where a listing gives it, and otherwise an assumed </w:t>
      </w:r>
      <w:r>
        <w:rPr>
          <w:rFonts w:ascii="Arial" w:cs="Arial" w:eastAsia="Arial" w:hAnsi="Arial"/>
          <w:b/>
          <w:bCs/>
        </w:rPr>
        <w:t xml:space="preserve">$7.00/SF</w:t>
      </w:r>
      <w:r>
        <w:rPr>
          <w:rFonts w:ascii="Arial" w:cs="Arial" w:eastAsia="Arial" w:hAnsi="Arial"/>
          <w:b w:val="false"/>
          <w:bCs w:val="false"/>
        </w:rPr>
        <w:t xml:space="preserve"> NNN load (derived in Comparable Adjustments). The client's required minimum set alone yields 19 de-duplicated rows; four supporting Southampton, Sag Harbor and Hampton Bays rows bring the table to 23. </w:t>
      </w:r>
      <w:r>
        <w:rPr>
          <w:rFonts w:ascii="Arial" w:cs="Arial" w:eastAsia="Arial" w:hAnsi="Arial"/>
          <w:b/>
          <w:bCs/>
        </w:rPr>
        <w:t xml:space="preserve">Tier 1</w:t>
      </w:r>
      <w:r>
        <w:rPr>
          <w:rFonts w:ascii="Arial" w:cs="Arial" w:eastAsia="Arial" w:hAnsi="Arial"/>
          <w:b w:val="false"/>
          <w:bCs w:val="false"/>
        </w:rPr>
        <w:t xml:space="preserve"> = Amagansett Main Street/Montauk Highway food service of about 500–3,000 SF; </w:t>
      </w:r>
      <w:r>
        <w:rPr>
          <w:rFonts w:ascii="Arial" w:cs="Arial" w:eastAsia="Arial" w:hAnsi="Arial"/>
          <w:b/>
          <w:bCs/>
        </w:rPr>
        <w:t xml:space="preserve">Tier 2</w:t>
      </w:r>
      <w:r>
        <w:rPr>
          <w:rFonts w:ascii="Arial" w:cs="Arial" w:eastAsia="Arial" w:hAnsi="Arial"/>
          <w:b w:val="false"/>
          <w:bCs w:val="false"/>
        </w:rPr>
        <w:t xml:space="preserve"> = other Amagansett commercial; </w:t>
      </w:r>
      <w:r>
        <w:rPr>
          <w:rFonts w:ascii="Arial" w:cs="Arial" w:eastAsia="Arial" w:hAnsi="Arial"/>
          <w:b/>
          <w:bCs/>
        </w:rPr>
        <w:t xml:space="preserve">Tier 3</w:t>
      </w:r>
      <w:r>
        <w:rPr>
          <w:rFonts w:ascii="Arial" w:cs="Arial" w:eastAsia="Arial" w:hAnsi="Arial"/>
          <w:b w:val="false"/>
          <w:bCs w:val="false"/>
        </w:rPr>
        <w:t xml:space="preserve"> = other Hamptons hamlets. Comparability is scored 1 (weak) to 5 (near-identical).</w:t>
      </w:r>
    </w:p>
    <w:p>
      <w:pPr>
        <w:keepNext/>
        <w:spacing w:after="80" w:before="120"/>
      </w:pPr>
      <w:r>
        <w:rPr>
          <w:rFonts w:ascii="Arial" w:cs="Arial" w:eastAsia="Arial" w:hAnsi="Arial"/>
          <w:b/>
          <w:bCs/>
          <w:color w:val="1F3864"/>
          <w:sz w:val="18"/>
          <w:szCs w:val="18"/>
        </w:rPr>
        <w:t xml:space="preserve">Table A. Comparable properties: location, size and rent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72"/>
        <w:gridCol w:w="1830"/>
        <w:gridCol w:w="1239"/>
        <w:gridCol w:w="1357"/>
        <w:gridCol w:w="1889"/>
        <w:gridCol w:w="1298"/>
        <w:gridCol w:w="885"/>
        <w:gridCol w:w="1830"/>
        <w:gridCol w:w="885"/>
        <w:gridCol w:w="1652"/>
        <w:gridCol w:w="1063"/>
      </w:tblGrid>
      <w:tr>
        <w:trPr>
          <w:cantSplit/>
          <w:tblHeader/>
        </w:trPr>
        <w:tc>
          <w:tcPr>
            <w:tcW w:type="dxa" w:w="472"/>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w:t>
            </w:r>
          </w:p>
        </w:tc>
        <w:tc>
          <w:tcPr>
            <w:tcW w:type="dxa" w:w="1830"/>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Property</w:t>
            </w:r>
          </w:p>
        </w:tc>
        <w:tc>
          <w:tcPr>
            <w:tcW w:type="dxa" w:w="123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Address</w:t>
            </w:r>
          </w:p>
        </w:tc>
        <w:tc>
          <w:tcPr>
            <w:tcW w:type="dxa" w:w="1357"/>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Hamlet</w:t>
            </w:r>
          </w:p>
        </w:tc>
        <w:tc>
          <w:tcPr>
            <w:tcW w:type="dxa" w:w="188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Type</w:t>
            </w:r>
          </w:p>
        </w:tc>
        <w:tc>
          <w:tcPr>
            <w:tcW w:type="dxa" w:w="1298"/>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SF</w:t>
            </w:r>
          </w:p>
        </w:tc>
        <w:tc>
          <w:tcPr>
            <w:tcW w:type="dxa" w:w="885"/>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Lease type</w:t>
            </w:r>
          </w:p>
        </w:tc>
        <w:tc>
          <w:tcPr>
            <w:tcW w:type="dxa" w:w="1830"/>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Annual base rent</w:t>
            </w:r>
          </w:p>
        </w:tc>
        <w:tc>
          <w:tcPr>
            <w:tcW w:type="dxa" w:w="885"/>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Monthly</w:t>
            </w:r>
          </w:p>
        </w:tc>
        <w:tc>
          <w:tcPr>
            <w:tcW w:type="dxa" w:w="1652"/>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$/SF/yr</w:t>
            </w:r>
          </w:p>
        </w:tc>
        <w:tc>
          <w:tcPr>
            <w:tcW w:type="dxa" w:w="106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Effective $/SF (gross-equiv.)</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Former Coche Comedor (annual option)</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74A Montauk Hwy</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Turnkey restaurant, 126 seats</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2,830 main level + finished lower level</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$240,000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$20,000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$84.81</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$91.81</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Same space (seasonal option)</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74A Montauk Hwy</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Same</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2,830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$175,000 for May 22–Sep 15, 2026 (ASK; lapsed)</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n/a</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$61.84 per season; </w:t>
            </w:r>
            <w:r>
              <w:rPr>
                <w:rFonts w:ascii="Arial" w:cs="Arial" w:eastAsia="Arial" w:hAnsi="Arial"/>
                <w:b/>
                <w:bCs/>
                <w:sz w:val="16"/>
                <w:szCs w:val="16"/>
              </w:rPr>
              <w:t xml:space="preserve">annual-equiv. $82.45–$92.30</w:t>
            </w:r>
            <w:r>
              <w:rPr>
                <w:rFonts w:ascii="Arial" w:cs="Arial" w:eastAsia="Arial" w:hAnsi="Arial"/>
                <w:b w:val="false"/>
                <w:bCs w:val="false"/>
                <w:sz w:val="16"/>
                <w:szCs w:val="16"/>
              </w:rPr>
              <w:t xml:space="preserve"> (÷0.75 to ÷0.67)</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n/a</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 Indian Wells Hwy, first floor</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 Indian Wells Hwy</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Dry flex/retail, no kitchen</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2,480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$161,200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$13,433</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$65.00</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$72.00</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 Indian Wells Hwy, ground level</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 Indian Wells Hwy</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Lower-level flex</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2,877</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$100,695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$8,391</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$35.00</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$42.00</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 Indian Wells Hwy, second floor</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 Indian Wells Hwy</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Upper-floor flex/office</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2,844</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$142,200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$11,850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$50.00</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$57.00</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136 Main St, Unit 1 (end cap)</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136 Main St</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Dry retail end cap</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$96,000 (last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$8,000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$192.00</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$199.00</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136 Main St warehouse</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136 Main St</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Warehouse / flex</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Unstated</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$180,000 (HISTORICAL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$15,000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$90.00</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n/a</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2095 Montauk Hwy restaurant</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2095 Montauk Hwy</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 11930 (Napeague, ~6 mi east of core)</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Restaurant, white box, 123 seats, double hood, 3BR apartment</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4,476</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$180,000 (</w:t>
            </w:r>
            <w:r>
              <w:rPr>
                <w:rFonts w:ascii="Arial" w:cs="Arial" w:eastAsia="Arial" w:hAnsi="Arial"/>
                <w:b/>
                <w:bCs/>
                <w:sz w:val="16"/>
                <w:szCs w:val="16"/>
              </w:rPr>
              <w:t xml:space="preserve">CLOSED</w:t>
            </w:r>
            <w:r>
              <w:rPr>
                <w:rFonts w:ascii="Arial" w:cs="Arial" w:eastAsia="Arial" w:hAnsi="Arial"/>
                <w:b w:val="false"/>
                <w:bCs w:val="false"/>
                <w:sz w:val="16"/>
                <w:szCs w:val="16"/>
              </w:rPr>
              <w:t xml:space="preserve">, Compass "Rented" 2025-06-08; price flagged "Unverified")</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$15,000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$40.21</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$49.15</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519–521 Montauk Hwy</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519–521 Montauk Hwy</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 (east of core)</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Former restaurant shell, seats 186</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5,000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Rate on request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249 Main St, Building B pop-up</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249 Main St</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Pop-up retail; 1,000 SF ground + 1,000 SF basement + loft</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"50K" for May 1–Sept 2021 (HISTORICAL ASK; ambiguous)</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n/a</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$25.00–$50.00 per season; annual-equiv. $33–$75 (÷0.75 to ÷0.67, on 2,000 or 1,000 SF)</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 S Edison St restaurant</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 S Edison St</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Montauk (downtown)</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Turnkey restaurant, ~126 seats incl. 18 sidewalk</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2,729</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$156,000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$13,000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$57.16</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$64.16</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12</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53 The Circle (GreyVen)</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53 The Circle</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Hampton Village</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Luxury retail</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1,635</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$237,075 (</w:t>
            </w:r>
            <w:r>
              <w:rPr>
                <w:rFonts w:ascii="Arial" w:cs="Arial" w:eastAsia="Arial" w:hAnsi="Arial"/>
                <w:b/>
                <w:bCs/>
                <w:sz w:val="16"/>
                <w:szCs w:val="16"/>
              </w:rPr>
              <w:t xml:space="preserve">EXECUTED</w:t>
            </w:r>
            <w:r>
              <w:rPr>
                <w:rFonts w:ascii="Arial" w:cs="Arial" w:eastAsia="Arial" w:hAnsi="Arial"/>
                <w:b w:val="false"/>
                <w:bCs w:val="false"/>
                <w:sz w:val="16"/>
                <w:szCs w:val="16"/>
              </w:rPr>
              <w:t xml:space="preserve"> per Traded.co, closed 2024-05-09)</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$19,756</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$145.00</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$152.00</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53 The Circle (current ask)</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53 The Circle</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Hampton Village</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Luxury retail + storage basement</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1,600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$240,000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$20,000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$150.00</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$157.00</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14</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32 Park Place (two units)</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32 Park Pl</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Hampton Village</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Boutique retail</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778 / 807</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$120,000 each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$10,000 each</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$154.24 / $148.70</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$161.24 / $155.70</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 Railroad Ave</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 Railroad Ave</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Hampton (expanded village district)</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Retail gallery, ex-auto shop</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3,000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$250,000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$20,833</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$83.33</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$90.33</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16</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70 Main St, floor 1</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70 Main St</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Southampton Village</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Dry retail, wet-use infrastructure retained</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2,365 + 1,300 basement</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$355,000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$29,583</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$150.11</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$157.11</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Wainscott 900 SF</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Montauk Hwy ("81 Montauk Hwy" per D)</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Wainscott</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Highway boutique; "hospitality-related use" possible</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 per CityFeet (D); HCRE silent</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$168,000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$14,000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$186.67</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$193.67</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18</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62 Montauk Hwy (ex-Buoy One)</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62 Montauk Hwy</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Westhampton</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Restaurant, 62 parking</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4,400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$132,000 year 1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$11,000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$30.00</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$37.00</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19</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 Main St</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 Main St</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Sag Harbor</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Small boutique</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744</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$120,000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$10,000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$161.29</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$168.29</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117 Main St</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117 Main St</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Sag Harbor</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Small storefront with patio</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$96,000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$8,000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$240.00</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$247.00</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21</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 Hill St (inline)</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 Hill St</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Southampton Village</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Inline retail; "modified wet uses such as salon or ice cream"</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925</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$66,000 (ASK; combined-unit page implies $84,000)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$5,500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$71.35 (or $90.81)</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$78.35</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22</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 Hill St, Unit B</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 Hill St</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Southampton Village</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Grocery, modified cooking</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3,100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NNN</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$240,000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$20,000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$77.42</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$84.42</w:t>
            </w:r>
          </w:p>
        </w:tc>
      </w:tr>
      <w:tr>
        <w:trPr>
          <w:cantSplit/>
          <w:tblHeader w:val="false"/>
        </w:trPr>
        <w:tc>
          <w:tcPr>
            <w:tcW w:type="dxa" w:w="47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23</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87 North Rd bar/restaurant</w:t>
            </w:r>
          </w:p>
        </w:tc>
        <w:tc>
          <w:tcPr>
            <w:tcW w:type="dxa" w:w="123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87 North Rd</w:t>
            </w:r>
          </w:p>
        </w:tc>
        <w:tc>
          <w:tcPr>
            <w:tcW w:type="dxa" w:w="13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Shinnecock Hills / Hampton Bays</w:t>
            </w:r>
          </w:p>
        </w:tc>
        <w:tc>
          <w:tcPr>
            <w:tcW w:type="dxa" w:w="188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Bar/restaurant with kitchen</w:t>
            </w:r>
          </w:p>
        </w:tc>
        <w:tc>
          <w:tcPr>
            <w:tcW w:type="dxa" w:w="12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1,700</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Unstated</w:t>
            </w:r>
          </w:p>
        </w:tc>
        <w:tc>
          <w:tcPr>
            <w:tcW w:type="dxa" w:w="183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$78,000 (ASK)</w:t>
            </w:r>
          </w:p>
        </w:tc>
        <w:tc>
          <w:tcPr>
            <w:tcW w:type="dxa" w:w="8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$6,500</w:t>
            </w:r>
          </w:p>
        </w:tc>
        <w:tc>
          <w:tcPr>
            <w:tcW w:type="dxa" w:w="165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$45.88</w:t>
            </w:r>
          </w:p>
        </w:tc>
        <w:tc>
          <w:tcPr>
            <w:tcW w:type="dxa" w:w="10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r>
    </w:tbl>
    <w:p>
      <w:pPr>
        <w:keepNext/>
        <w:pageBreakBefore/>
        <w:spacing w:after="80" w:before="120"/>
      </w:pPr>
      <w:r>
        <w:rPr>
          <w:rFonts w:ascii="Arial" w:cs="Arial" w:eastAsia="Arial" w:hAnsi="Arial"/>
          <w:b/>
          <w:bCs/>
          <w:color w:val="1F3864"/>
          <w:sz w:val="18"/>
          <w:szCs w:val="18"/>
        </w:rPr>
        <w:t xml:space="preserve">Table B. Comparable properties: terms, sources, grading and notes (rows match Table A by #)</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76"/>
        <w:gridCol w:w="1607"/>
        <w:gridCol w:w="1607"/>
        <w:gridCol w:w="1369"/>
        <w:gridCol w:w="1071"/>
        <w:gridCol w:w="1666"/>
        <w:gridCol w:w="1131"/>
        <w:gridCol w:w="1012"/>
        <w:gridCol w:w="714"/>
        <w:gridCol w:w="476"/>
        <w:gridCol w:w="3271"/>
      </w:tblGrid>
      <w:tr>
        <w:trPr>
          <w:cantSplit/>
          <w:tblHeader/>
        </w:trPr>
        <w:tc>
          <w:tcPr>
            <w:tcW w:type="dxa" w:w="476"/>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w:t>
            </w:r>
          </w:p>
        </w:tc>
        <w:tc>
          <w:tcPr>
            <w:tcW w:type="dxa" w:w="1607"/>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Property</w:t>
            </w:r>
          </w:p>
        </w:tc>
        <w:tc>
          <w:tcPr>
            <w:tcW w:type="dxa" w:w="1607"/>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NNN/CAM</w:t>
            </w:r>
          </w:p>
        </w:tc>
        <w:tc>
          <w:tcPr>
            <w:tcW w:type="dxa" w:w="136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Term</w:t>
            </w:r>
          </w:p>
        </w:tc>
        <w:tc>
          <w:tcPr>
            <w:tcW w:type="dxa" w:w="1071"/>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Seasonality</w:t>
            </w:r>
          </w:p>
        </w:tc>
        <w:tc>
          <w:tcPr>
            <w:tcW w:type="dxa" w:w="1666"/>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Date</w:t>
            </w:r>
          </w:p>
        </w:tc>
        <w:tc>
          <w:tcPr>
            <w:tcW w:type="dxa" w:w="1131"/>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Source</w:t>
            </w:r>
          </w:p>
        </w:tc>
        <w:tc>
          <w:tcPr>
            <w:tcW w:type="dxa" w:w="1012"/>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Source grade</w:t>
            </w:r>
          </w:p>
        </w:tc>
        <w:tc>
          <w:tcPr>
            <w:tcW w:type="dxa" w:w="714"/>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Comp. score</w:t>
            </w:r>
          </w:p>
        </w:tc>
        <w:tc>
          <w:tcPr>
            <w:tcW w:type="dxa" w:w="476"/>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Tier</w:t>
            </w:r>
          </w:p>
        </w:tc>
        <w:tc>
          <w:tcPr>
            <w:tcW w:type="dxa" w:w="3271"/>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Notes</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Former Coche Comedor (annual option)</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Taxes $13,919 = $4.92/SF (D); full NNN Unknown</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Multi-year; Crexi shows 3 mo–10 yr (D)</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Listed 2026-03-26; ~194 days, no cut</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[28][29][30][31][32]</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Plus $700,000 key money</w:t>
            </w:r>
            <w:r>
              <w:rPr>
                <w:rFonts w:ascii="Arial" w:cs="Arial" w:eastAsia="Arial" w:hAnsi="Arial"/>
                <w:b w:val="false"/>
                <w:bCs w:val="false"/>
                <w:sz w:val="16"/>
                <w:szCs w:val="16"/>
              </w:rPr>
              <w:t xml:space="preserve"> (ASK) incl. equipment; 31 on-site spaces; renovated 2020; central A/C</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Same space (seasonal option)</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2026 season only</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Seasonal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2026</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[28][31]</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 (D for dates)</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Seasonal ask = 72.9% of annual ask, consistent with the 2/3–3/4 broker rule [91]</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 Indian Wells Hwy, first floor</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 building taxes ~$1.31–$2.02/SF</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Negotiable (Compass "1-12 months" appears a template field)</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Published 2025-11-25; ~316 days</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[33][36][37]</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Main St district; raised entry stair; shared 33-space lot; historic building [4]</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 Indian Wells Hwy, ground level</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As above</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Negotiable</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Available 2025-04-08; ~547 days</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[34][36]</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Rear-lot access; no storefront visibility</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 Indian Wells Hwy, second floor</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As above</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Negotiable</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~314 days</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[35]</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Reference only</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136 Main St, Unit 1 (end cap)</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Negotiable</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2025–26; </w:t>
            </w:r>
            <w:r>
              <w:rPr>
                <w:rFonts w:ascii="Arial" w:cs="Arial" w:eastAsia="Arial" w:hAnsi="Arial"/>
                <w:b/>
                <w:bCs/>
                <w:sz w:val="16"/>
                <w:szCs w:val="16"/>
              </w:rPr>
              <w:t xml:space="preserve">broker page 404 on 2026-10-07, likely leased or withdrawn</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[38][39][40]</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D (terms); B (withdrawal)</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Small-unit trophy outlier; excluded from the conclusion</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136 Main St warehouse</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Available 2025-04-10; "Permanently Off Market"</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[41]</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storefront or food</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2095 Montauk Hwy restaurant</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$40,000/yr stated = $8.94/SF</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 lease; highly seasonal stretch</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Closed 2025-06-08</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[42][40][43]</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Same $180,000 asked in fall 2024 [43]; Compass header shows "$180,000/mo," a display error against "$180,000/yr" in the listing text</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519–521 Montauk Hwy</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Negotiable</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Lease status unverified 2026; sale ask $7.95M (2023)</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[44][45][46]</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D (status); B (2023 facts)</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80 parking spaces; vacant for years</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249 Main St, Building B pop-up</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Season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Seasonal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2021</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[47]</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C</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Main St and municipal-lot access; built 1786</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 S Edison St restaurant</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Page modified 2026-08-16</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[50]</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Plus $250,000 key money</w:t>
            </w:r>
            <w:r>
              <w:rPr>
                <w:rFonts w:ascii="Arial" w:cs="Arial" w:eastAsia="Arial" w:hAnsi="Arial"/>
                <w:b w:val="false"/>
                <w:bCs w:val="false"/>
                <w:sz w:val="16"/>
                <w:szCs w:val="16"/>
              </w:rPr>
              <w:t xml:space="preserve"> (ASK); large kitchen, 112 SF walk-in freezer</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12</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53 The Circle (GreyVen)</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2024-05-09</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[53]</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D (internally corroborated)</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 × $3,959,000 sale ask = $237,540, matching the rent; </w:t>
            </w:r>
            <w:r>
              <w:rPr>
                <w:rFonts w:ascii="Arial" w:cs="Arial" w:eastAsia="Arial" w:hAnsi="Arial"/>
                <w:b/>
                <w:bCs/>
                <w:sz w:val="16"/>
                <w:szCs w:val="16"/>
              </w:rPr>
              <w:t xml:space="preserve">trophy, excluded except as ceiling</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53 The Circle (current ask)</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Modified 2026-01-13; April 2026 sale page cites "The tenancy"</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[51][52]</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Trophy; may have leased</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14</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32 Park Place (two units)</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Modified 2026-02-24</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[56]</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Luxury-adjacent; fronts the village public lot</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 Railroad Ave</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Modified 2026-03-06</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[57]</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Four roll-up doors; "ample parking"</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16</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70 Main St, floor 1</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Modified 2026-08-19</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[58]</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Luxury Main St; trophy</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Wainscott 900 SF</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Modified 2026-08-25</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[59][60]</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Small-unit premium</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18</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62 Montauk Hwy (ex-Buoy One)</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"Long-term"</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Undated</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[61]</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D</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Plus $350,000 key money</w:t>
            </w:r>
            <w:r>
              <w:rPr>
                <w:rFonts w:ascii="Arial" w:cs="Arial" w:eastAsia="Arial" w:hAnsi="Arial"/>
                <w:b w:val="false"/>
                <w:bCs w:val="false"/>
                <w:sz w:val="16"/>
                <w:szCs w:val="16"/>
              </w:rPr>
              <w:t xml:space="preserve"> (ASK); size and parking conflict with another source</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19</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 Main St</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Negotiable</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Modified 2026-09-13</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[62]</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Supporting; small-unit</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117 Main St</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 year (Oct 2026–Oct 2027)</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Modified 2026-07-23</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[63]</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Trophy small-unit; excluded</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21</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 Hill St (inline)</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Modified 2026-09-18</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[64][65]</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 (conflict)</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Closest size match among food-capable Tier 3 units</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22</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 Hill St, Unit B</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Not stated</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Annual</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Modified 2026-09-28</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[66]</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Food-adjacent</w:t>
            </w:r>
          </w:p>
        </w:tc>
      </w:tr>
      <w:tr>
        <w:trPr>
          <w:cantSplit/>
          <w:tblHeader w:val="false"/>
        </w:trPr>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23</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87 North Rd bar/restaurant</w:t>
            </w:r>
          </w:p>
        </w:tc>
        <w:tc>
          <w:tcPr>
            <w:tcW w:type="dxa" w:w="160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0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Unknown</w:t>
            </w:r>
          </w:p>
        </w:tc>
        <w:tc>
          <w:tcPr>
            <w:tcW w:type="dxa" w:w="166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2024-05-18</w:t>
            </w:r>
          </w:p>
        </w:tc>
        <w:tc>
          <w:tcPr>
            <w:tcW w:type="dxa" w:w="113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[67]</w:t>
            </w:r>
          </w:p>
        </w:tc>
        <w:tc>
          <w:tcPr>
            <w:tcW w:type="dxa" w:w="101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w:t>
            </w:r>
          </w:p>
        </w:tc>
        <w:tc>
          <w:tcPr>
            <w:tcW w:type="dxa" w:w="71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47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327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Peripheral Southampton Town location</w:t>
            </w:r>
          </w:p>
        </w:tc>
      </w:tr>
    </w:tbl>
    <w:p>
      <w:pPr>
        <w:spacing w:after="160" w:before="0"/>
      </w:pPr>
    </w:p>
    <w:p>
      <w:pPr>
        <w:keepNext w:val="false"/>
        <w:spacing w:after="140" w:line="276"/>
      </w:pPr>
      <w:r>
        <w:rPr>
          <w:rFonts w:ascii="Arial" w:cs="Arial" w:eastAsia="Arial" w:hAnsi="Arial"/>
          <w:b/>
          <w:bCs/>
        </w:rPr>
        <w:t xml:space="preserve">Reading the table.</w:t>
      </w:r>
      <w:r>
        <w:rPr>
          <w:rFonts w:ascii="Arial" w:cs="Arial" w:eastAsia="Arial" w:hAnsi="Arial"/>
          <w:b w:val="false"/>
          <w:bCs w:val="false"/>
        </w:rPr>
        <w:t xml:space="preserve"> Three clusters emerge. </w:t>
      </w:r>
      <w:r>
        <w:rPr>
          <w:rFonts w:ascii="Arial" w:cs="Arial" w:eastAsia="Arial" w:hAnsi="Arial"/>
          <w:b/>
          <w:bCs/>
        </w:rPr>
        <w:t xml:space="preserve">Restaurant and food boxes</w:t>
      </w:r>
      <w:r>
        <w:rPr>
          <w:rFonts w:ascii="Arial" w:cs="Arial" w:eastAsia="Arial" w:hAnsi="Arial"/>
          <w:b w:val="false"/>
          <w:bCs w:val="false"/>
        </w:rPr>
        <w:t xml:space="preserve"> (rows 1, 8, 11, 18, 23) ask or closed at about </w:t>
      </w:r>
      <w:r>
        <w:rPr>
          <w:rFonts w:ascii="Arial" w:cs="Arial" w:eastAsia="Arial" w:hAnsi="Arial"/>
          <w:b/>
          <w:bCs/>
        </w:rPr>
        <w:t xml:space="preserve">$30–$85/SF base</w:t>
      </w:r>
      <w:r>
        <w:rPr>
          <w:rFonts w:ascii="Arial" w:cs="Arial" w:eastAsia="Arial" w:hAnsi="Arial"/>
          <w:b w:val="false"/>
          <w:bCs w:val="false"/>
        </w:rPr>
        <w:t xml:space="preserve">, usually with key money of $250,000–$700,000 attached. </w:t>
      </w:r>
      <w:r>
        <w:rPr>
          <w:rFonts w:ascii="Arial" w:cs="Arial" w:eastAsia="Arial" w:hAnsi="Arial"/>
          <w:b/>
          <w:bCs/>
        </w:rPr>
        <w:t xml:space="preserve">Off-core and upper-level Amagansett space</w:t>
      </w:r>
      <w:r>
        <w:rPr>
          <w:rFonts w:ascii="Arial" w:cs="Arial" w:eastAsia="Arial" w:hAnsi="Arial"/>
          <w:b w:val="false"/>
          <w:bCs w:val="false"/>
        </w:rPr>
        <w:t xml:space="preserve"> (rows 4, 5) asks $35–$50. </w:t>
      </w:r>
      <w:r>
        <w:rPr>
          <w:rFonts w:ascii="Arial" w:cs="Arial" w:eastAsia="Arial" w:hAnsi="Arial"/>
          <w:b/>
          <w:bCs/>
        </w:rPr>
        <w:t xml:space="preserve">Trophy and small-unit village retail</w:t>
      </w:r>
      <w:r>
        <w:rPr>
          <w:rFonts w:ascii="Arial" w:cs="Arial" w:eastAsia="Arial" w:hAnsi="Arial"/>
          <w:b w:val="false"/>
          <w:bCs w:val="false"/>
        </w:rPr>
        <w:t xml:space="preserve"> (rows 6, 12–14, 16, 17, 19, 20) runs </w:t>
      </w:r>
      <w:r>
        <w:rPr>
          <w:rFonts w:ascii="Arial" w:cs="Arial" w:eastAsia="Arial" w:hAnsi="Arial"/>
          <w:b/>
          <w:bCs/>
        </w:rPr>
        <w:t xml:space="preserve">$145–$240/SF</w:t>
      </w:r>
      <w:r>
        <w:rPr>
          <w:rFonts w:ascii="Arial" w:cs="Arial" w:eastAsia="Arial" w:hAnsi="Arial"/>
          <w:b w:val="false"/>
          <w:bCs w:val="false"/>
        </w:rPr>
        <w:t xml:space="preserve">. The trophy cluster reflects national-brand marketing locations and very small units; a 2019 report noted that brands there are "less concerned with running profitable East End stores than having their brand associated with the Hamptons" [92]. </w:t>
      </w:r>
      <w:r>
        <w:rPr>
          <w:rFonts w:ascii="Arial" w:cs="Arial" w:eastAsia="Arial" w:hAnsi="Arial"/>
          <w:b/>
          <w:bCs/>
        </w:rPr>
        <w:t xml:space="preserve">These trophy rows are not mixed into the restaurant conclusion.</w:t>
      </w:r>
      <w:r>
        <w:rPr>
          <w:rFonts w:ascii="Arial" w:cs="Arial" w:eastAsia="Arial" w:hAnsi="Arial"/>
          <w:b w:val="false"/>
          <w:bCs w:val="false"/>
        </w:rPr>
        <w:t xml:space="preserve"> They appear in the table because the client required them and because a tenant's broker may cite them; reaching a 1,100 SF Amagansett food-service equivalent would require downward adjustments of roughly 50–65%, which is too large to produce a reliable indicator. The analysis therefore relies on the seven comparables graded in the next sections.</w:t>
      </w:r>
    </w:p>
    <w:p>
      <w:pPr>
        <w:sectPr>
          <w:headerReference w:type="default" r:id="rId11"/>
          <w:footerReference w:type="default" r:id="rId12"/>
          <w:pgSz w:w="15840" w:h="12240" w:orient="landscape"/>
          <w:pgMar w:top="840" w:right="720" w:bottom="780" w:left="720" w:header="400" w:footer="380" w:gutter="0"/>
          <w:pgNumType/>
          <w:docGrid w:linePitch="360"/>
        </w:sectPr>
      </w:pPr>
    </w:p>
    <w:p>
      <w:pPr>
        <w:pStyle w:val="Heading1"/>
      </w:pPr>
      <w:bookmarkStart w:name="sec6" w:id="106"/>
      <w:r>
        <w:t xml:space="preserve">Executed Transactions</w:t>
      </w:r>
      <w:bookmarkEnd w:id="106"/>
    </w:p>
    <w:p>
      <w:pPr>
        <w:keepNext w:val="false"/>
        <w:spacing w:after="140" w:line="276"/>
      </w:pPr>
      <w:r>
        <w:rPr>
          <w:rFonts w:ascii="Arial" w:cs="Arial" w:eastAsia="Arial" w:hAnsi="Arial"/>
          <w:b/>
          <w:bCs/>
        </w:rPr>
        <w:t xml:space="preserve">No executed Amagansett commercial rent (dollars per month, per year or per SF) has been publicly disclosed for 2014–2026.</w:t>
      </w:r>
      <w:r>
        <w:rPr>
          <w:rFonts w:ascii="Arial" w:cs="Arial" w:eastAsia="Arial" w:hAnsi="Arial"/>
          <w:b w:val="false"/>
          <w:bCs w:val="false"/>
        </w:rPr>
        <w:t xml:space="preserve"> That is the central limitation of this assessment, and it is stated without qualification.</w:t>
      </w:r>
    </w:p>
    <w:p>
      <w:pPr>
        <w:keepNext w:val="false"/>
        <w:spacing w:after="140" w:line="276"/>
      </w:pPr>
      <w:r>
        <w:rPr>
          <w:rFonts w:ascii="Arial" w:cs="Arial" w:eastAsia="Arial" w:hAnsi="Arial"/>
          <w:b/>
          <w:bCs/>
        </w:rPr>
        <w:t xml:space="preserve">What was searched.</w:t>
      </w:r>
      <w:r>
        <w:rPr>
          <w:rFonts w:ascii="Arial" w:cs="Arial" w:eastAsia="Arial" w:hAnsi="Arial"/>
          <w:b w:val="false"/>
          <w:bCs w:val="false"/>
        </w:rPr>
        <w:t xml:space="preserve"> About 45 distinct web searches and about 30 page fetches covered: the local press archives (27east, East Hampton Star, Behind the Hedges, Dan's Papers, Patch, Hamptons.com, The Real Deal); broker closed-deal pages, including the HCRE "Closed Deals" page, which lists about 24 leased properties by label only (for example "Napeague Stretch Wet Use" and "East Hampton Wet Use"), with no addresses, dates or rents [118]; Traded.co deal records (no Amagansett records found); BizBuySell, BizQuest and other business-for-sale sites (blocked or no Amagansett results); court records, including a 2024 Appellate Division market-rent decision that could not be opened [128]; SEC filings; Suffolk County Clerk land records for a memorandum of lease (not publicly searchable online); and paid lease-comparable databases such as CoStar and CompStak (no access). Tenant-specific searches for Organic Krush, Mary's Marvelous, Rowdy Hall, Doubles, Il Buco al Mare, Astro's, Jack's Stir Brew and others returned no rent disclosures.</w:t>
      </w:r>
    </w:p>
    <w:p>
      <w:pPr>
        <w:keepNext/>
        <w:spacing w:after="140" w:line="276"/>
      </w:pPr>
      <w:r>
        <w:rPr>
          <w:rFonts w:ascii="Arial" w:cs="Arial" w:eastAsia="Arial" w:hAnsi="Arial"/>
          <w:b w:val="false"/>
          <w:bCs w:val="false"/>
        </w:rPr>
        <w:t xml:space="preserve">The executed or closed items that do exist are below. Each is labelled with what it is and is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42"/>
        <w:gridCol w:w="1186"/>
        <w:gridCol w:w="1897"/>
        <w:gridCol w:w="1660"/>
        <w:gridCol w:w="2609"/>
        <w:gridCol w:w="1186"/>
      </w:tblGrid>
      <w:tr>
        <w:trPr>
          <w:cantSplit/>
          <w:tblHeader/>
        </w:trPr>
        <w:tc>
          <w:tcPr>
            <w:tcW w:type="dxa" w:w="1542"/>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Item</w:t>
            </w:r>
          </w:p>
        </w:tc>
        <w:tc>
          <w:tcPr>
            <w:tcW w:type="dxa" w:w="1186"/>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Date</w:t>
            </w:r>
          </w:p>
        </w:tc>
        <w:tc>
          <w:tcPr>
            <w:tcW w:type="dxa" w:w="1897"/>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What was executed</w:t>
            </w:r>
          </w:p>
        </w:tc>
        <w:tc>
          <w:tcPr>
            <w:tcW w:type="dxa" w:w="1660"/>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Rent disclosed?</w:t>
            </w:r>
          </w:p>
        </w:tc>
        <w:tc>
          <w:tcPr>
            <w:tcW w:type="dxa" w:w="260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Implication</w:t>
            </w:r>
          </w:p>
        </w:tc>
        <w:tc>
          <w:tcPr>
            <w:tcW w:type="dxa" w:w="1186"/>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Source / grade</w:t>
            </w:r>
          </w:p>
        </w:tc>
      </w:tr>
      <w:tr>
        <w:trPr>
          <w:cantSplit/>
          <w:tblHeader w:val="false"/>
        </w:trPr>
        <w:tc>
          <w:tcPr>
            <w:tcW w:type="dxa" w:w="154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207 Main St, Amagansett</w:t>
            </w:r>
            <w:r>
              <w:rPr>
                <w:rFonts w:ascii="Arial" w:cs="Arial" w:eastAsia="Arial" w:hAnsi="Arial"/>
                <w:b w:val="false"/>
                <w:bCs w:val="false"/>
                <w:sz w:val="16"/>
                <w:szCs w:val="16"/>
              </w:rPr>
              <w:t xml:space="preserve"> (subject)</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Closed 2017-06-12</w:t>
            </w:r>
          </w:p>
        </w:tc>
        <w:tc>
          <w:tcPr>
            <w:tcW w:type="dxa" w:w="189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Assignment of the "long-term lease" and equipment from Mary's Marvelous to Organic Krush; key money ASK $625,000, later $575,000</w:t>
            </w:r>
          </w:p>
        </w:tc>
        <w:tc>
          <w:tcPr>
            <w:tcW w:type="dxa" w:w="166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No</w:t>
            </w:r>
            <w:r>
              <w:rPr>
                <w:rFonts w:ascii="Arial" w:cs="Arial" w:eastAsia="Arial" w:hAnsi="Arial"/>
                <w:b w:val="false"/>
                <w:bCs w:val="false"/>
                <w:sz w:val="16"/>
                <w:szCs w:val="16"/>
              </w:rPr>
              <w:t xml:space="preserve"> (price and rent undisclosed)</w:t>
            </w:r>
          </w:p>
        </w:tc>
        <w:tc>
          <w:tcPr>
            <w:tcW w:type="dxa" w:w="2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Market participants paid a premium to occupy this space; contract rent below market at the time (inference)</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[10][13][15]; B, broker-confirmed completed transaction</w:t>
            </w:r>
          </w:p>
        </w:tc>
      </w:tr>
      <w:tr>
        <w:trPr>
          <w:cantSplit/>
          <w:tblHeader w:val="false"/>
        </w:trPr>
        <w:tc>
          <w:tcPr>
            <w:tcW w:type="dxa" w:w="154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2095 Montauk Hwy</w:t>
            </w:r>
            <w:r>
              <w:rPr>
                <w:rFonts w:ascii="Arial" w:cs="Arial" w:eastAsia="Arial" w:hAnsi="Arial"/>
                <w:b w:val="false"/>
                <w:bCs w:val="false"/>
                <w:sz w:val="16"/>
                <w:szCs w:val="16"/>
              </w:rPr>
              <w:t xml:space="preserve">, Napeague</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Closed 2025-06-08</w:t>
            </w:r>
          </w:p>
        </w:tc>
        <w:tc>
          <w:tcPr>
            <w:tcW w:type="dxa" w:w="189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New lease of a 4,476 SF white-box restaurant</w:t>
            </w:r>
          </w:p>
        </w:tc>
        <w:tc>
          <w:tcPr>
            <w:tcW w:type="dxa" w:w="166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Yes, broker-reported:</w:t>
            </w:r>
            <w:r>
              <w:rPr>
                <w:rFonts w:ascii="Arial" w:cs="Arial" w:eastAsia="Arial" w:hAnsi="Arial"/>
                <w:b w:val="false"/>
                <w:bCs w:val="false"/>
                <w:sz w:val="16"/>
                <w:szCs w:val="16"/>
              </w:rPr>
              <w:t xml:space="preserve"> $180,000 base + $40,000 NNN ($40.21 + $8.94/SF); Compass flags the price "Unverified"</w:t>
            </w:r>
          </w:p>
        </w:tc>
        <w:tc>
          <w:tcPr>
            <w:tcW w:type="dxa" w:w="2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The only closed Amagansett-ZIP food-service rent; low anchor</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[42]; B</w:t>
            </w:r>
          </w:p>
        </w:tc>
      </w:tr>
      <w:tr>
        <w:trPr>
          <w:cantSplit/>
          <w:tblHeader w:val="false"/>
        </w:trPr>
        <w:tc>
          <w:tcPr>
            <w:tcW w:type="dxa" w:w="154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GreyVen, 53 The Circle</w:t>
            </w:r>
            <w:r>
              <w:rPr>
                <w:rFonts w:ascii="Arial" w:cs="Arial" w:eastAsia="Arial" w:hAnsi="Arial"/>
                <w:b w:val="false"/>
                <w:bCs w:val="false"/>
                <w:sz w:val="16"/>
                <w:szCs w:val="16"/>
              </w:rPr>
              <w:t xml:space="preserve">, East Hampton Village</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Closed 2024-05-09</w:t>
            </w:r>
          </w:p>
        </w:tc>
        <w:tc>
          <w:tcPr>
            <w:tcW w:type="dxa" w:w="189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Retail lease, 1,635 SF</w:t>
            </w:r>
          </w:p>
        </w:tc>
        <w:tc>
          <w:tcPr>
            <w:tcW w:type="dxa" w:w="166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$145/SF NNN ($237,075/yr) per Traded.co snippet; corroborated by 6% cap on a $3,959,000 sale ask</w:t>
            </w:r>
          </w:p>
        </w:tc>
        <w:tc>
          <w:tcPr>
            <w:tcW w:type="dxa" w:w="2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Trophy-corridor ceiling; not a restaurant comparable</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[53]; D</w:t>
            </w:r>
          </w:p>
        </w:tc>
      </w:tr>
      <w:tr>
        <w:trPr>
          <w:cantSplit/>
          <w:tblHeader w:val="false"/>
        </w:trPr>
        <w:tc>
          <w:tcPr>
            <w:tcW w:type="dxa" w:w="154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Warby Parker, 48 Main St</w:t>
            </w:r>
            <w:r>
              <w:rPr>
                <w:rFonts w:ascii="Arial" w:cs="Arial" w:eastAsia="Arial" w:hAnsi="Arial"/>
                <w:b w:val="false"/>
                <w:bCs w:val="false"/>
                <w:sz w:val="16"/>
                <w:szCs w:val="16"/>
              </w:rPr>
              <w:t xml:space="preserve">, East Hampton Village</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Signed 1/1/2022</w:t>
            </w:r>
          </w:p>
        </w:tc>
        <w:tc>
          <w:tcPr>
            <w:tcW w:type="dxa" w:w="189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Retail lease, 1,341 SF</w:t>
            </w:r>
          </w:p>
        </w:tc>
        <w:tc>
          <w:tcPr>
            <w:tcW w:type="dxa" w:w="166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$125/SF ($167,625/yr), labelled "asking rent" on Traded.co</w:t>
            </w:r>
          </w:p>
        </w:tc>
        <w:tc>
          <w:tcPr>
            <w:tcW w:type="dxa" w:w="2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Trophy ceiling; may be an ask</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[55]; D</w:t>
            </w:r>
          </w:p>
        </w:tc>
      </w:tr>
      <w:tr>
        <w:trPr>
          <w:cantSplit/>
          <w:tblHeader w:val="false"/>
        </w:trPr>
        <w:tc>
          <w:tcPr>
            <w:tcW w:type="dxa" w:w="154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David Lewis Gallery, 53 The Circle</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1/1/2022</w:t>
            </w:r>
          </w:p>
        </w:tc>
        <w:tc>
          <w:tcPr>
            <w:tcW w:type="dxa" w:w="189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Gallery lease, 1,645 SF</w:t>
            </w:r>
          </w:p>
        </w:tc>
        <w:tc>
          <w:tcPr>
            <w:tcW w:type="dxa" w:w="166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$73/SF ($120,085/yr), labelled "asking"</w:t>
            </w:r>
          </w:p>
        </w:tc>
        <w:tc>
          <w:tcPr>
            <w:tcW w:type="dxa" w:w="2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Village secondary data point</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[54]; D</w:t>
            </w:r>
          </w:p>
        </w:tc>
      </w:tr>
      <w:tr>
        <w:trPr>
          <w:cantSplit/>
          <w:tblHeader w:val="false"/>
        </w:trPr>
        <w:tc>
          <w:tcPr>
            <w:tcW w:type="dxa" w:w="154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Hampton Chutney, Amagansett Square</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Lease expired Oct 2020; offer spring 2021</w:t>
            </w:r>
          </w:p>
        </w:tc>
        <w:tc>
          <w:tcPr>
            <w:tcW w:type="dxa" w:w="189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Landlord's renewal offer (not accepted) at "almost triple what we're paying now"</w:t>
            </w:r>
          </w:p>
        </w:tc>
        <w:tc>
          <w:tcPr>
            <w:tcW w:type="dxa" w:w="166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 dollar figures</w:t>
            </w:r>
          </w:p>
        </w:tc>
        <w:tc>
          <w:tcPr>
            <w:tcW w:type="dxa" w:w="2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Qualitative executed-market event: an Amagansett landlord priced a 20-year legacy food tenant at about 3x; space re-let to Doubles by July 2022; Hampton Chutney moved to 107 Newtown Lane, East Hampton, the former Mary's Marvelous store [77]</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[76][77][24]; C</w:t>
            </w:r>
          </w:p>
        </w:tc>
      </w:tr>
      <w:tr>
        <w:trPr>
          <w:cantSplit/>
          <w:tblHeader w:val="false"/>
        </w:trPr>
        <w:tc>
          <w:tcPr>
            <w:tcW w:type="dxa" w:w="154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177 Main St</w:t>
            </w:r>
            <w:r>
              <w:rPr>
                <w:rFonts w:ascii="Arial" w:cs="Arial" w:eastAsia="Arial" w:hAnsi="Arial"/>
                <w:b w:val="false"/>
                <w:bCs w:val="false"/>
                <w:sz w:val="16"/>
                <w:szCs w:val="16"/>
              </w:rPr>
              <w:t xml:space="preserve">, Amagansett (Rowdy Hall)</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Sales 2020 and 2023-01-17; lease 2023</w:t>
            </w:r>
          </w:p>
        </w:tc>
        <w:tc>
          <w:tcPr>
            <w:tcW w:type="dxa" w:w="189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Building bought for $2.825M (2020), listed at $4.995M in Oct 2022 and sold for $4.45M (2023) to ROP Amagansett LLC to lease out; Rowdy Hall opened Nov 2023</w:t>
            </w:r>
          </w:p>
        </w:tc>
        <w:tc>
          <w:tcPr>
            <w:tcW w:type="dxa" w:w="166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Lease rent </w:t>
            </w:r>
            <w:r>
              <w:rPr>
                <w:rFonts w:ascii="Arial" w:cs="Arial" w:eastAsia="Arial" w:hAnsi="Arial"/>
                <w:b/>
                <w:bCs/>
                <w:sz w:val="16"/>
                <w:szCs w:val="16"/>
              </w:rPr>
              <w:t xml:space="preserve">not</w:t>
            </w:r>
            <w:r>
              <w:rPr>
                <w:rFonts w:ascii="Arial" w:cs="Arial" w:eastAsia="Arial" w:hAnsi="Arial"/>
                <w:b w:val="false"/>
                <w:bCs w:val="false"/>
                <w:sz w:val="16"/>
                <w:szCs w:val="16"/>
              </w:rPr>
              <w:t xml:space="preserve"> disclosed</w:t>
            </w:r>
          </w:p>
        </w:tc>
        <w:tc>
          <w:tcPr>
            <w:tcW w:type="dxa" w:w="2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See implied-yield illustration below</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[81][82][80][83]; B/C</w:t>
            </w:r>
          </w:p>
        </w:tc>
      </w:tr>
      <w:tr>
        <w:trPr>
          <w:cantSplit/>
          <w:tblHeader w:val="false"/>
        </w:trPr>
        <w:tc>
          <w:tcPr>
            <w:tcW w:type="dxa" w:w="154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Sea Dragon Books, 136 Main St</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2026</w:t>
            </w:r>
          </w:p>
        </w:tc>
        <w:tc>
          <w:tcPr>
            <w:tcW w:type="dxa" w:w="189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Two-year lease</w:t>
            </w:r>
          </w:p>
        </w:tc>
        <w:tc>
          <w:tcPr>
            <w:tcW w:type="dxa" w:w="166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w:t>
            </w:r>
          </w:p>
        </w:tc>
        <w:tc>
          <w:tcPr>
            <w:tcW w:type="dxa" w:w="2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Confirms leasing activity on the Main Street frontage</w:t>
            </w:r>
          </w:p>
        </w:tc>
        <w:tc>
          <w:tcPr>
            <w:tcW w:type="dxa" w:w="118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[86]; C</w:t>
            </w:r>
          </w:p>
        </w:tc>
      </w:tr>
    </w:tbl>
    <w:p>
      <w:pPr>
        <w:spacing w:after="160" w:before="0"/>
      </w:pPr>
    </w:p>
    <w:p>
      <w:pPr>
        <w:keepNext w:val="false"/>
        <w:spacing w:after="140" w:line="276"/>
      </w:pPr>
      <w:r>
        <w:rPr>
          <w:rFonts w:ascii="Arial" w:cs="Arial" w:eastAsia="Arial" w:hAnsi="Arial"/>
          <w:b/>
          <w:bCs/>
        </w:rPr>
        <w:t xml:space="preserve">177 Main Street implied-yield illustration (ESTIMATE only, not a rent).</w:t>
      </w:r>
      <w:r>
        <w:rPr>
          <w:rFonts w:ascii="Arial" w:cs="Arial" w:eastAsia="Arial" w:hAnsi="Arial"/>
          <w:b w:val="false"/>
          <w:bCs w:val="false"/>
        </w:rPr>
        <w:t xml:space="preserve"> If an investor bought 177 Main Street for $4.45 million [80] expecting a 5.5–6.5% yield (an assumed range, not sourced), the implied net income would be about </w:t>
      </w:r>
      <w:r>
        <w:rPr>
          <w:rFonts w:ascii="Arial" w:cs="Arial" w:eastAsia="Arial" w:hAnsi="Arial"/>
          <w:b/>
          <w:bCs/>
        </w:rPr>
        <w:t xml:space="preserve">$244,750–$289,250 per year</w:t>
      </w:r>
      <w:r>
        <w:rPr>
          <w:rFonts w:ascii="Arial" w:cs="Arial" w:eastAsia="Arial" w:hAnsi="Arial"/>
          <w:b w:val="false"/>
          <w:bCs w:val="false"/>
        </w:rPr>
        <w:t xml:space="preserve">. On the roughly 2,900 SF reported in press coverage, that is </w:t>
      </w:r>
      <w:r>
        <w:rPr>
          <w:rFonts w:ascii="Arial" w:cs="Arial" w:eastAsia="Arial" w:hAnsi="Arial"/>
          <w:b/>
          <w:bCs/>
        </w:rPr>
        <w:t xml:space="preserve">$84–$100/SF</w:t>
      </w:r>
      <w:r>
        <w:rPr>
          <w:rFonts w:ascii="Arial" w:cs="Arial" w:eastAsia="Arial" w:hAnsi="Arial"/>
          <w:b w:val="false"/>
          <w:bCs w:val="false"/>
        </w:rPr>
        <w:t xml:space="preserve">; on the 2,304 SF ground floor recorded in the Town's ARB file (which also notes a 650 SF lower level and 94 approved seats) [7], it is about $106–$126/SF. This is inferred from a sale price, not a lease. The buyer may have priced in land value or upside, and the price rose about 58% between 2020 and 2023 [81][80]. It is presented only to show that Amagansett restaurant real estate is priced by investors at levels consistent with, not below, the reconciled market range. It carries </w:t>
      </w:r>
      <w:r>
        <w:rPr>
          <w:rFonts w:ascii="Arial" w:cs="Arial" w:eastAsia="Arial" w:hAnsi="Arial"/>
          <w:b/>
          <w:bCs/>
        </w:rPr>
        <w:t xml:space="preserve">no weight</w:t>
      </w:r>
      <w:r>
        <w:rPr>
          <w:rFonts w:ascii="Arial" w:cs="Arial" w:eastAsia="Arial" w:hAnsi="Arial"/>
          <w:b w:val="false"/>
          <w:bCs w:val="false"/>
        </w:rPr>
        <w:t xml:space="preserve"> in the calculation.</w:t>
      </w:r>
    </w:p>
    <w:p>
      <w:pPr>
        <w:keepNext w:val="false"/>
        <w:spacing w:after="140" w:line="276"/>
      </w:pPr>
      <w:r>
        <w:rPr>
          <w:rFonts w:ascii="Arial" w:cs="Arial" w:eastAsia="Arial" w:hAnsi="Arial"/>
          <w:b/>
          <w:bCs/>
        </w:rPr>
        <w:t xml:space="preserve">Concessions and asking-to-achieved spreads.</w:t>
      </w:r>
      <w:r>
        <w:rPr>
          <w:rFonts w:ascii="Arial" w:cs="Arial" w:eastAsia="Arial" w:hAnsi="Arial"/>
          <w:b w:val="false"/>
          <w:bCs w:val="false"/>
        </w:rPr>
        <w:t xml:space="preserve"> In the 2009 downturn, East Hampton achieved rents were reported "20 or 25 percent" below unchanged asks [88]. The only granular 2026 concession data found (CompStak, Bay Area retail, not Hamptons) puts free rent at about 2.3% of term [112]. Long Island in-place retail rents are described as "routinely 15–25% below today's market" [113]. Appraisal practice is to "Model Net Effective Rent, not asking rent" [111], but no Hamptons-specific asking-to-executed spread exists in public sources; the adjustments below use a moderate 5–10% discount to asks.</w:t>
      </w:r>
    </w:p>
    <w:p>
      <w:pPr>
        <w:pStyle w:val="Heading1"/>
      </w:pPr>
      <w:bookmarkStart w:name="sec7" w:id="107"/>
      <w:r>
        <w:t xml:space="preserve">Historical Market Evidence</w:t>
      </w:r>
      <w:bookmarkEnd w:id="107"/>
    </w:p>
    <w:p>
      <w:pPr>
        <w:keepNext/>
        <w:spacing w:after="140" w:line="276"/>
      </w:pPr>
      <w:r>
        <w:rPr>
          <w:rFonts w:ascii="Arial" w:cs="Arial" w:eastAsia="Arial" w:hAnsi="Arial"/>
          <w:b w:val="false"/>
          <w:bCs w:val="false"/>
        </w:rPr>
        <w:t xml:space="preserve">The table is a dated time series of figures from 1997 to 2026, each labelled by type. </w:t>
      </w:r>
      <w:r>
        <w:rPr>
          <w:rFonts w:ascii="Arial" w:cs="Arial" w:eastAsia="Arial" w:hAnsi="Arial"/>
          <w:b/>
          <w:bCs/>
        </w:rPr>
        <w:t xml:space="preserve">No archived listing captures exist.</w:t>
      </w:r>
      <w:r>
        <w:rPr>
          <w:rFonts w:ascii="Arial" w:cs="Arial" w:eastAsia="Arial" w:hAnsi="Arial"/>
          <w:b w:val="false"/>
          <w:bCs w:val="false"/>
        </w:rPr>
        <w:t xml:space="preserve"> The Wayback Machine's CDX search was blocked by the egress proxy and its availability endpoint returned no snapshot for the 2016 Elliman listing of the subject; LoopNet and Crexi listing pages returned HTTP 403. Some Town Code pages were readable only through archived copies, but no historical commercial listing could be retrieved that way. Historical asks therefore come from press coverage and broker pages that are still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98"/>
        <w:gridCol w:w="2068"/>
        <w:gridCol w:w="4265"/>
        <w:gridCol w:w="1680"/>
        <w:gridCol w:w="969"/>
      </w:tblGrid>
      <w:tr>
        <w:trPr>
          <w:cantSplit/>
          <w:tblHeader/>
        </w:trPr>
        <w:tc>
          <w:tcPr>
            <w:tcW w:type="dxa" w:w="1098"/>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Date</w:t>
            </w:r>
          </w:p>
        </w:tc>
        <w:tc>
          <w:tcPr>
            <w:tcW w:type="dxa" w:w="2068"/>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Location</w:t>
            </w:r>
          </w:p>
        </w:tc>
        <w:tc>
          <w:tcPr>
            <w:tcW w:type="dxa" w:w="4265"/>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Figure or event</w:t>
            </w:r>
          </w:p>
        </w:tc>
        <w:tc>
          <w:tcPr>
            <w:tcW w:type="dxa" w:w="1680"/>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Label</w:t>
            </w:r>
          </w:p>
        </w:tc>
        <w:tc>
          <w:tcPr>
            <w:tcW w:type="dxa" w:w="96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Source</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1997-05</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Hampton Village</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$45–$70/SF; spaces under 1,000 SF "proportionately more"</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BROKER OPINION</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[87]</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2007–08</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Hampton Village prime</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"up to $250 a foot"</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BROKER OPINION</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[88]</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2009-06</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Hampton Village; Montauk</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$175–$200/SF asks; achieved 20–25% below asks; Montauk landlords "giving 20 to 30 percent off"</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BROKER OPINION</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[88]</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2011</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Hampton; Southampton; Bridgehampton / Sag Harbor</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Multiyear leases $110–$140 (EH), $70–$75 (Southampton), about $50 (Bridgehampton, Sag Harbor)</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BROKER OPINION</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[89]</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2012-04</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 Main St (Outdoors store)</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15-year lease not renewed; space later split between two tenants</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HISTORICAL (rent undisclosed)</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[125][74]</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2013-05</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 Main St (Gone Local)</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Month-to-month tenant evicted; owner said she could afford "as much as $5,000 per month" for a new space</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HISTORICAL (tenant budget, not a rent)</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[73]</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2015–16</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 Square</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Four vacancies in late 2015; Square "filled to capacity" by May 2016</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HISTORICAL</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[74][75]</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2016-02</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Hampton Village; Southampton</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Average $125/SF (EH); $90 (Southampton)</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BROKER OPINION</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[90]</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2016-12</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Bridgehampton, 2510 Montauk Hwy</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$70/SF main floor plus taxes and CAM</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ASK</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[99]</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2016-12 to 2017-06</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207 Main St (subject)</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Key money ASK $625,000, then $575,000; assignment closed 2017-06-12</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HISTORICAL / EXECUTED (price undisclosed)</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[10][13][15]</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2017-07</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Southampton</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Main St $140–$150; Jobs Lane $100–$110; pop-ups (4–6 months) at "two-thirds to three-fourths of the annual asking rent"</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BROKER OPINION</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[91]</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2019-05</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74A Montauk Hwy</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Honest Man opened Coche Comedor; "The company already owned the space"</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HISTORICAL</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[79]</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2019-06</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Southampton; Amagansett</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Southampton asks fell from about $110 to $85 (Main) and $50 (Jobs Lane); "Sag Harbor, Amagansett and Bridgehampton saw little turnover"; entry-level pop-ups $75,000–$100,000 a season</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BROKER OPINION</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[92]</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2020</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177 Main St</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Building bought for $2.825M</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EXECUTED (sale)</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[81]</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2021-05</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 Square (Hampton Chutney)</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Renewal offer "almost triple" prior rent</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HISTORICAL (offer)</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[76]</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2021</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249 Main St</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Seasonal pop-up "50K" for May 1–Sept 2021</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HISTORICAL ASK</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[47]</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2021-09</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Hampton Village Main / Newtown</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Average $125–$150/SF</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BROKER OPINION</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[93]</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2021-11 / 2022-12</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136 Main St; 11 Indian Wells Hwy</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Sold for $5.6M and $5.2M to the same group</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EXECUTED (sales)</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[85][84]</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2022-11</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End retail</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About $46/SF; +9.8% over 12 months; +62.2% versus a decade earlier (likely CoStar-sourced)</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BROKER OPINION (market data)</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[94]</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2022–24</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East Hampton Village</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$73, $125 and $145/SF retail leases</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EXECUTED (D)</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[53][54][55]</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2023-01</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177 Main St</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Sold for $4.45M</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EXECUTED (sale)</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[80]</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2023-04</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Newtown Lane, East Hampton</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"over 14 offers... the price was $250 per square foot" (rent or price ambiguous)</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BROKER OPINION</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[95]</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2023-06</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519–521 Montauk Hwy</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Listed for sale at $7.95M; vacant "for the last few years"; history as restaurant, gallery, wine bar; an earlier 7-Eleven lease was abandoned</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HISTORICAL</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[45]</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2024-10</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2095 Montauk Hwy</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$180,000/year base for 4,476 SF</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ASK</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[43]</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2025-06</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2095 Montauk Hwy</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Rented; $180,000 + $40,000 NNN</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CLOSED</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[42]</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2025-09</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74A Montauk Hwy</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Coche Comedor closed Sept 27, 2025 after six years</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HISTORICAL</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[78]</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2025-09</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716 Montauk Hwy, Montauk</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1,450 SF units at $9,750/month (about $80.69/SF if per unit; basis ambiguous)</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ASK</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[96]</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2026</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74A Montauk Hwy</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$240,000 NNN + $700,000 key money; $175,000 seasonal</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ASK</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[28]</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2026</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11 Indian Wells Hwy; 136 Main St</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$35 / $50 / $65 NNN; Unit 1 $192 NNN (withdrawn); assemblage for sale at $19M</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ASK</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[33][34][35][36][38]</w:t>
            </w:r>
          </w:p>
        </w:tc>
      </w:tr>
      <w:tr>
        <w:trPr>
          <w:cantSplit/>
          <w:tblHeader w:val="false"/>
        </w:trPr>
        <w:tc>
          <w:tcPr>
            <w:tcW w:type="dxa" w:w="109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2026-07</w:t>
            </w:r>
          </w:p>
        </w:tc>
        <w:tc>
          <w:tcPr>
            <w:tcW w:type="dxa" w:w="206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Amagansett west end</w:t>
            </w:r>
          </w:p>
        </w:tc>
        <w:tc>
          <w:tcPr>
            <w:tcW w:type="dxa" w:w="4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"Business boom"; new tenants at 136 Main St</w:t>
            </w:r>
          </w:p>
        </w:tc>
        <w:tc>
          <w:tcPr>
            <w:tcW w:type="dxa" w:w="16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HISTORICAL</w:t>
            </w:r>
          </w:p>
        </w:tc>
        <w:tc>
          <w:tcPr>
            <w:tcW w:type="dxa" w:w="9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[86]</w:t>
            </w:r>
          </w:p>
        </w:tc>
      </w:tr>
    </w:tbl>
    <w:p>
      <w:pPr>
        <w:spacing w:after="160" w:before="0"/>
      </w:pPr>
    </w:p>
    <w:p>
      <w:pPr>
        <w:keepNext w:val="false"/>
        <w:spacing w:after="140" w:line="276"/>
      </w:pPr>
      <w:r>
        <w:rPr>
          <w:rFonts w:ascii="Arial" w:cs="Arial" w:eastAsia="Arial" w:hAnsi="Arial"/>
          <w:b/>
          <w:bCs/>
        </w:rPr>
        <w:t xml:space="preserve">Montauk notes.</w:t>
      </w:r>
      <w:r>
        <w:rPr>
          <w:rFonts w:ascii="Arial" w:cs="Arial" w:eastAsia="Arial" w:hAnsi="Arial"/>
          <w:b w:val="false"/>
          <w:bCs w:val="false"/>
        </w:rPr>
        <w:t xml:space="preserve"> Montauk shows the deepest cyclical discounting in the record: 20–30% lease-ask cuts in 2009 [88], a sale-price cut at 716 Montauk Highway from $8.9 million (2016) to $6.7 million (March 2017) [97], and a Martell's / Montauk Fuels sale-ask series from $10.5 million (2016) to $5.475 million (2021) [127]. In 2019, Montauk restaurant prices were described as "not as steep" as elsewhere [79].</w:t>
      </w:r>
    </w:p>
    <w:p>
      <w:pPr>
        <w:keepNext w:val="false"/>
        <w:spacing w:after="140" w:line="276"/>
      </w:pPr>
      <w:r>
        <w:rPr>
          <w:rFonts w:ascii="Arial" w:cs="Arial" w:eastAsia="Arial" w:hAnsi="Arial"/>
          <w:b/>
          <w:bCs/>
        </w:rPr>
        <w:t xml:space="preserve">What the history shows.</w:t>
      </w:r>
      <w:r>
        <w:rPr>
          <w:rFonts w:ascii="Arial" w:cs="Arial" w:eastAsia="Arial" w:hAnsi="Arial"/>
          <w:b w:val="false"/>
          <w:bCs w:val="false"/>
        </w:rPr>
        <w:t xml:space="preserve"> First, Hamptons retail rents are cyclical: East Hampton Village asks fell from about $250 to $110–$140 between 2008 and 2011, then recovered [88][89]. Second, the post-2020 period is a step-up: an Amagansett renewal offer at about 3x (2021) [76], East End rents +9.8% in a year (2022) [94], and an Amagansett restaurant building up about 58% in under three years [81][80]. Third, </w:t>
      </w:r>
      <w:r>
        <w:rPr>
          <w:rFonts w:ascii="Arial" w:cs="Arial" w:eastAsia="Arial" w:hAnsi="Arial"/>
          <w:b/>
          <w:bCs/>
        </w:rPr>
        <w:t xml:space="preserve">Amagansett turnover has been driven by landlord rent resets and sales, and vacated spaces have re-let within about a season</w:t>
      </w:r>
      <w:r>
        <w:rPr>
          <w:rFonts w:ascii="Arial" w:cs="Arial" w:eastAsia="Arial" w:hAnsi="Arial"/>
          <w:b w:val="false"/>
          <w:bCs w:val="false"/>
        </w:rPr>
        <w:t xml:space="preserve"> (Outdoors in 2012, Gone Local in 2013, Hampton Chutney in 2021, 177 Main in 2020–2023) [125][73][76][24]. The exception is 519–521 Montauk Highway, which is outside the walkable core [45]. Fourth, </w:t>
      </w:r>
      <w:r>
        <w:rPr>
          <w:rFonts w:ascii="Arial" w:cs="Arial" w:eastAsia="Arial" w:hAnsi="Arial"/>
          <w:b/>
          <w:bCs/>
        </w:rPr>
        <w:t xml:space="preserve">seasonality is priced explicitly</w:t>
      </w:r>
      <w:r>
        <w:rPr>
          <w:rFonts w:ascii="Arial" w:cs="Arial" w:eastAsia="Arial" w:hAnsi="Arial"/>
          <w:b w:val="false"/>
          <w:bCs w:val="false"/>
        </w:rPr>
        <w:t xml:space="preserve">: a pop-up season costs about two-thirds to three-quarters of a year's rent [91], and the 2026 74A seasonal ask is 72.9% of its annual ask [28]. A lease negotiated in 2002 or assigned in 2017 would have been set before the post-2020 step-up.</w:t>
      </w:r>
    </w:p>
    <w:p>
      <w:pPr>
        <w:sectPr>
          <w:headerReference w:type="default" r:id="rId13"/>
          <w:footerReference w:type="default" r:id="rId14"/>
          <w:pgSz w:w="12240" w:h="15840" w:orient="portrait"/>
          <w:pgMar w:top="1260" w:right="1080" w:bottom="1080" w:left="1080" w:header="620" w:footer="560" w:gutter="0"/>
          <w:pgNumType/>
          <w:docGrid w:linePitch="360"/>
        </w:sectPr>
      </w:pPr>
    </w:p>
    <w:p>
      <w:pPr>
        <w:pStyle w:val="Heading1"/>
      </w:pPr>
      <w:bookmarkStart w:name="sec8" w:id="108"/>
      <w:r>
        <w:t xml:space="preserve">Comparable Adjustments</w:t>
      </w:r>
      <w:bookmarkEnd w:id="108"/>
    </w:p>
    <w:p>
      <w:pPr>
        <w:keepNext/>
        <w:spacing w:after="140" w:line="276"/>
      </w:pPr>
      <w:r>
        <w:rPr>
          <w:rFonts w:ascii="Arial" w:cs="Arial" w:eastAsia="Arial" w:hAnsi="Arial"/>
          <w:b/>
          <w:bCs/>
        </w:rPr>
        <w:t xml:space="preserve">Normalization conventions (applied before the grid).</w:t>
      </w:r>
    </w:p>
    <w:p>
      <w:pPr>
        <w:pStyle w:val="ListParagraph"/>
        <w:numPr>
          <w:ilvl w:val="0"/>
          <w:numId w:val="2"/>
        </w:numPr>
        <w:spacing w:after="100" w:line="276"/>
      </w:pPr>
      <w:r>
        <w:rPr>
          <w:rFonts w:ascii="Arial" w:cs="Arial" w:eastAsia="Arial" w:hAnsi="Arial"/>
          <w:b/>
          <w:bCs/>
        </w:rPr>
        <w:t xml:space="preserve">Rent basis.</w:t>
      </w:r>
      <w:r>
        <w:rPr>
          <w:rFonts w:ascii="Arial" w:cs="Arial" w:eastAsia="Arial" w:hAnsi="Arial"/>
          <w:b w:val="false"/>
          <w:bCs w:val="false"/>
        </w:rPr>
        <w:t xml:space="preserve"> All comparables are compared on </w:t>
      </w:r>
      <w:r>
        <w:rPr>
          <w:rFonts w:ascii="Arial" w:cs="Arial" w:eastAsia="Arial" w:hAnsi="Arial"/>
          <w:b/>
          <w:bCs/>
        </w:rPr>
        <w:t xml:space="preserve">annual NNN base rent per SF</w:t>
      </w:r>
      <w:r>
        <w:rPr>
          <w:rFonts w:ascii="Arial" w:cs="Arial" w:eastAsia="Arial" w:hAnsi="Arial"/>
          <w:b w:val="false"/>
          <w:bCs w:val="false"/>
        </w:rPr>
        <w:t xml:space="preserve">. Where a comparable is gross or a pop-up figure, an NNN load is subtracted.</w:t>
      </w:r>
    </w:p>
    <w:p>
      <w:pPr>
        <w:pStyle w:val="ListParagraph"/>
        <w:numPr>
          <w:ilvl w:val="0"/>
          <w:numId w:val="2"/>
        </w:numPr>
        <w:spacing w:after="100" w:line="276"/>
      </w:pPr>
      <w:r>
        <w:rPr>
          <w:rFonts w:ascii="Arial" w:cs="Arial" w:eastAsia="Arial" w:hAnsi="Arial"/>
          <w:b/>
          <w:bCs/>
        </w:rPr>
        <w:t xml:space="preserve">NNN load assumption: $7.00/SF (range $5.00–$8.75).</w:t>
      </w:r>
      <w:r>
        <w:rPr>
          <w:rFonts w:ascii="Arial" w:cs="Arial" w:eastAsia="Arial" w:hAnsi="Arial"/>
          <w:b w:val="false"/>
          <w:bCs w:val="false"/>
        </w:rPr>
        <w:t xml:space="preserve"> Sourcing: real estate taxes from broker-published tax bills run </w:t>
      </w:r>
      <w:r>
        <w:rPr>
          <w:rFonts w:ascii="Arial" w:cs="Arial" w:eastAsia="Arial" w:hAnsi="Arial"/>
          <w:b/>
          <w:bCs/>
        </w:rPr>
        <w:t xml:space="preserve">$1.38–$3.22/SF</w:t>
      </w:r>
      <w:r>
        <w:rPr>
          <w:rFonts w:ascii="Arial" w:cs="Arial" w:eastAsia="Arial" w:hAnsi="Arial"/>
          <w:b w:val="false"/>
          <w:bCs w:val="false"/>
        </w:rPr>
        <w:t xml:space="preserve"> on small village commercial buildings [68][69][70][71]; the subject's own taxes are about $2.96/SF [3]; taxes alone at 74A are $4.92/SF [31]; the one stated all-in Amagansett NNN figure is </w:t>
      </w:r>
      <w:r>
        <w:rPr>
          <w:rFonts w:ascii="Arial" w:cs="Arial" w:eastAsia="Arial" w:hAnsi="Arial"/>
          <w:b/>
          <w:bCs/>
        </w:rPr>
        <w:t xml:space="preserve">$8.94/SF</w:t>
      </w:r>
      <w:r>
        <w:rPr>
          <w:rFonts w:ascii="Arial" w:cs="Arial" w:eastAsia="Arial" w:hAnsi="Arial"/>
          <w:b w:val="false"/>
          <w:bCs w:val="false"/>
        </w:rPr>
        <w:t xml:space="preserve"> at 2095 Montauk Highway [42]; taxes at 136 Main / 11 Indian Wells run about $1.31–$2.02/SF [36]; and a generic national benchmark puts retail NNN at $4–$8/SF [72]. Insurance and maintenance components (about $1.00–$2.50 and $1.00–$3.00/SF respectively) are </w:t>
      </w:r>
      <w:r>
        <w:rPr>
          <w:rFonts w:ascii="Arial" w:cs="Arial" w:eastAsia="Arial" w:hAnsi="Arial"/>
          <w:b/>
          <w:bCs/>
        </w:rPr>
        <w:t xml:space="preserve">unsourced assumptions</w:t>
      </w:r>
      <w:r>
        <w:rPr>
          <w:rFonts w:ascii="Arial" w:cs="Arial" w:eastAsia="Arial" w:hAnsi="Arial"/>
          <w:b w:val="false"/>
          <w:bCs w:val="false"/>
        </w:rPr>
        <w:t xml:space="preserve"> and should be replaced with the subject's actual figures.</w:t>
      </w:r>
    </w:p>
    <w:p>
      <w:pPr>
        <w:pStyle w:val="ListParagraph"/>
        <w:numPr>
          <w:ilvl w:val="0"/>
          <w:numId w:val="2"/>
        </w:numPr>
        <w:spacing w:after="100" w:line="276"/>
      </w:pPr>
      <w:r>
        <w:rPr>
          <w:rFonts w:ascii="Arial" w:cs="Arial" w:eastAsia="Arial" w:hAnsi="Arial"/>
          <w:b/>
          <w:bCs/>
        </w:rPr>
        <w:t xml:space="preserve">Seasonal to annual.</w:t>
      </w:r>
      <w:r>
        <w:rPr>
          <w:rFonts w:ascii="Arial" w:cs="Arial" w:eastAsia="Arial" w:hAnsi="Arial"/>
          <w:b w:val="false"/>
          <w:bCs w:val="false"/>
        </w:rPr>
        <w:t xml:space="preserve"> A seasonal rent is converted to an annual-equivalent by </w:t>
      </w:r>
      <w:r>
        <w:rPr>
          <w:rFonts w:ascii="Arial" w:cs="Arial" w:eastAsia="Arial" w:hAnsi="Arial"/>
          <w:b/>
          <w:bCs/>
        </w:rPr>
        <w:t xml:space="preserve">dividing by 0.67–0.75</w:t>
      </w:r>
      <w:r>
        <w:rPr>
          <w:rFonts w:ascii="Arial" w:cs="Arial" w:eastAsia="Arial" w:hAnsi="Arial"/>
          <w:b w:val="false"/>
          <w:bCs w:val="false"/>
        </w:rPr>
        <w:t xml:space="preserve"> (midpoint 0.71), following the broker rule that a 4–6 month season costs "two-thirds to three-fourths of the annual asking rent" [91], which 74A's 2026 asks confirm (72.9%) [28]. Scaling by months occupied is </w:t>
      </w:r>
      <w:r>
        <w:rPr>
          <w:rFonts w:ascii="Arial" w:cs="Arial" w:eastAsia="Arial" w:hAnsi="Arial"/>
          <w:b/>
          <w:bCs/>
        </w:rPr>
        <w:t xml:space="preserve">not</w:t>
      </w:r>
      <w:r>
        <w:rPr>
          <w:rFonts w:ascii="Arial" w:cs="Arial" w:eastAsia="Arial" w:hAnsi="Arial"/>
          <w:b w:val="false"/>
          <w:bCs w:val="false"/>
        </w:rPr>
        <w:t xml:space="preserve"> used, because it overstates annual rent by 33–125%. The premium attaches to summer-only occupancy specifically: a 2015 Bridgehampton offering priced month-to-month at the same monthly rate as its annual lease ($10,000 versus $120,000 a year) [126].</w:t>
      </w:r>
    </w:p>
    <w:p>
      <w:pPr>
        <w:pStyle w:val="ListParagraph"/>
        <w:numPr>
          <w:ilvl w:val="0"/>
          <w:numId w:val="2"/>
        </w:numPr>
        <w:spacing w:after="100" w:line="276"/>
      </w:pPr>
      <w:r>
        <w:rPr>
          <w:rFonts w:ascii="Arial" w:cs="Arial" w:eastAsia="Arial" w:hAnsi="Arial"/>
          <w:b/>
          <w:bCs/>
        </w:rPr>
        <w:t xml:space="preserve">Transaction status (ask to achieved).</w:t>
      </w:r>
      <w:r>
        <w:rPr>
          <w:rFonts w:ascii="Arial" w:cs="Arial" w:eastAsia="Arial" w:hAnsi="Arial"/>
          <w:b w:val="false"/>
          <w:bCs w:val="false"/>
        </w:rPr>
        <w:t xml:space="preserve"> Asks on market more than about 180 days without a cut: </w:t>
      </w:r>
      <w:r>
        <w:rPr>
          <w:rFonts w:ascii="Arial" w:cs="Arial" w:eastAsia="Arial" w:hAnsi="Arial"/>
          <w:b/>
          <w:bCs/>
        </w:rPr>
        <w:t xml:space="preserve">−10%</w:t>
      </w:r>
      <w:r>
        <w:rPr>
          <w:rFonts w:ascii="Arial" w:cs="Arial" w:eastAsia="Arial" w:hAnsi="Arial"/>
          <w:b w:val="false"/>
          <w:bCs w:val="false"/>
        </w:rPr>
        <w:t xml:space="preserve"> (74A, 11 Indian Wells, 9 Railroad Ave). Other current asks and stale historical asks: </w:t>
      </w:r>
      <w:r>
        <w:rPr>
          <w:rFonts w:ascii="Arial" w:cs="Arial" w:eastAsia="Arial" w:hAnsi="Arial"/>
          <w:b/>
          <w:bCs/>
        </w:rPr>
        <w:t xml:space="preserve">−5%</w:t>
      </w:r>
      <w:r>
        <w:rPr>
          <w:rFonts w:ascii="Arial" w:cs="Arial" w:eastAsia="Arial" w:hAnsi="Arial"/>
          <w:b w:val="false"/>
          <w:bCs w:val="false"/>
        </w:rPr>
        <w:t xml:space="preserve">. Closed leases: </w:t>
      </w:r>
      <w:r>
        <w:rPr>
          <w:rFonts w:ascii="Arial" w:cs="Arial" w:eastAsia="Arial" w:hAnsi="Arial"/>
          <w:b/>
          <w:bCs/>
        </w:rPr>
        <w:t xml:space="preserve">0%</w:t>
      </w:r>
      <w:r>
        <w:rPr>
          <w:rFonts w:ascii="Arial" w:cs="Arial" w:eastAsia="Arial" w:hAnsi="Arial"/>
          <w:b w:val="false"/>
          <w:bCs w:val="false"/>
        </w:rPr>
        <w:t xml:space="preserve">. The spread is moderate because the 2025–2026 market is tight [100][101], while 2009 spreads reached 20–25% [88] and long marketing periods here signal resistance [28][33].</w:t>
      </w:r>
    </w:p>
    <w:p>
      <w:pPr>
        <w:pStyle w:val="ListParagraph"/>
        <w:numPr>
          <w:ilvl w:val="0"/>
          <w:numId w:val="2"/>
        </w:numPr>
        <w:spacing w:after="100" w:line="276"/>
      </w:pPr>
      <w:r>
        <w:rPr>
          <w:rFonts w:ascii="Arial" w:cs="Arial" w:eastAsia="Arial" w:hAnsi="Arial"/>
          <w:b/>
          <w:bCs/>
        </w:rPr>
        <w:t xml:space="preserve">Market timing.</w:t>
      </w:r>
      <w:r>
        <w:rPr>
          <w:rFonts w:ascii="Arial" w:cs="Arial" w:eastAsia="Arial" w:hAnsi="Arial"/>
          <w:b w:val="false"/>
          <w:bCs w:val="false"/>
        </w:rPr>
        <w:t xml:space="preserve"> A 2021 figure is moved </w:t>
      </w:r>
      <w:r>
        <w:rPr>
          <w:rFonts w:ascii="Arial" w:cs="Arial" w:eastAsia="Arial" w:hAnsi="Arial"/>
          <w:b/>
          <w:bCs/>
        </w:rPr>
        <w:t xml:space="preserve">+10%</w:t>
      </w:r>
      <w:r>
        <w:rPr>
          <w:rFonts w:ascii="Arial" w:cs="Arial" w:eastAsia="Arial" w:hAnsi="Arial"/>
          <w:b w:val="false"/>
          <w:bCs w:val="false"/>
        </w:rPr>
        <w:t xml:space="preserve"> to 2026, a conservative reading of East End rents rising 9.8% in a single year to November 2022 [94] and Long Island retail asks rising about 9% year over year in 2026 [113]. Figures from 2025–2026 are not time-adjusted.</w:t>
      </w:r>
    </w:p>
    <w:p>
      <w:pPr>
        <w:pStyle w:val="ListParagraph"/>
        <w:numPr>
          <w:ilvl w:val="0"/>
          <w:numId w:val="2"/>
        </w:numPr>
        <w:spacing w:after="100" w:line="276"/>
      </w:pPr>
      <w:r>
        <w:rPr>
          <w:rFonts w:ascii="Arial" w:cs="Arial" w:eastAsia="Arial" w:hAnsi="Arial"/>
          <w:b/>
          <w:bCs/>
        </w:rPr>
        <w:t xml:space="preserve">Size.</w:t>
      </w:r>
      <w:r>
        <w:rPr>
          <w:rFonts w:ascii="Arial" w:cs="Arial" w:eastAsia="Arial" w:hAnsi="Arial"/>
          <w:b w:val="false"/>
          <w:bCs w:val="false"/>
        </w:rPr>
        <w:t xml:space="preserve"> Smaller spaces command higher rent per SF: spaces under 1,000 SF cost "proportionately more" [87], and in 2026 a 400 SF Sag Harbor unit asks $240/SF against $125/SF for a 1,200 SF unit nearby [63]. Those trophy spreads imply an elasticity of about 0.3–0.6. This report uses </w:t>
      </w:r>
      <w:r>
        <w:rPr>
          <w:rFonts w:ascii="Arial" w:cs="Arial" w:eastAsia="Arial" w:hAnsi="Arial"/>
          <w:b/>
          <w:bCs/>
        </w:rPr>
        <w:t xml:space="preserve">0.15</w:t>
      </w:r>
      <w:r>
        <w:rPr>
          <w:rFonts w:ascii="Arial" w:cs="Arial" w:eastAsia="Arial" w:hAnsi="Arial"/>
          <w:b w:val="false"/>
          <w:bCs w:val="false"/>
        </w:rPr>
        <w:t xml:space="preserve">, so that size adjustment = (comparable SF / 1,100)^0.15 − 1. Restaurant rent is driven more by seats and back-of-house than by frontage ("restaurants are valued on the basis of the number of tables" [98]), so a conservative elasticity is appropriate.</w:t>
      </w:r>
    </w:p>
    <w:p>
      <w:pPr>
        <w:pStyle w:val="ListParagraph"/>
        <w:numPr>
          <w:ilvl w:val="0"/>
          <w:numId w:val="2"/>
        </w:numPr>
        <w:spacing w:after="100" w:line="276"/>
      </w:pPr>
      <w:r>
        <w:rPr>
          <w:rFonts w:ascii="Arial" w:cs="Arial" w:eastAsia="Arial" w:hAnsi="Arial"/>
          <w:b/>
          <w:bCs/>
        </w:rPr>
        <w:t xml:space="preserve">Key money.</w:t>
      </w:r>
      <w:r>
        <w:rPr>
          <w:rFonts w:ascii="Arial" w:cs="Arial" w:eastAsia="Arial" w:hAnsi="Arial"/>
          <w:b w:val="false"/>
          <w:bCs w:val="false"/>
        </w:rPr>
        <w:t xml:space="preserve"> Key money is consideration paid for occupancy on top of base rent, and it is routine for turnkey Hamptons restaurant leases: $225,000 to take over the Springs Tavern lease (2021) [117], $500,000 for the Wölffer Kitchen Sag Harbor lease (2020) [116], $250,000 at 17 S Edison [50] and $700,000 at 74A [28]. It is converted to a per-SF annual amount on a straight-line basis over an assumed 10-year term, and </w:t>
      </w:r>
      <w:r>
        <w:rPr>
          <w:rFonts w:ascii="Arial" w:cs="Arial" w:eastAsia="Arial" w:hAnsi="Arial"/>
          <w:b/>
          <w:bCs/>
        </w:rPr>
        <w:t xml:space="preserve">only 50% is treated as rent-equivalent</w:t>
      </w:r>
      <w:r>
        <w:rPr>
          <w:rFonts w:ascii="Arial" w:cs="Arial" w:eastAsia="Arial" w:hAnsi="Arial"/>
          <w:b w:val="false"/>
          <w:bCs w:val="false"/>
        </w:rPr>
        <w:t xml:space="preserve">. The other 50% is assumed to pay for equipment and goodwill, since the 74A key money "would provide ownership of all of the equipment" [28]. The 50% share is an assumption.</w:t>
      </w:r>
    </w:p>
    <w:p>
      <w:pPr>
        <w:spacing w:after="60" w:before="0"/>
      </w:pPr>
    </w:p>
    <w:p>
      <w:pPr>
        <w:keepNext/>
        <w:spacing w:after="140" w:line="276"/>
      </w:pPr>
      <w:r>
        <w:rPr>
          <w:rFonts w:ascii="Arial" w:cs="Arial" w:eastAsia="Arial" w:hAnsi="Arial"/>
          <w:b/>
          <w:bCs/>
        </w:rPr>
        <w:t xml:space="preserve">Adjustment grid (seven strongest comparables).</w:t>
      </w:r>
      <w:r>
        <w:rPr>
          <w:rFonts w:ascii="Arial" w:cs="Arial" w:eastAsia="Arial" w:hAnsi="Arial"/>
          <w:b w:val="false"/>
          <w:bCs w:val="false"/>
        </w:rPr>
        <w:t xml:space="preserve"> Percentages are adjustments to the comparable to make it equivalent to the subject: </w:t>
      </w:r>
      <w:r>
        <w:rPr>
          <w:rFonts w:ascii="Arial" w:cs="Arial" w:eastAsia="Arial" w:hAnsi="Arial"/>
          <w:b/>
          <w:bCs/>
        </w:rPr>
        <w:t xml:space="preserve">+</w:t>
      </w:r>
      <w:r>
        <w:rPr>
          <w:rFonts w:ascii="Arial" w:cs="Arial" w:eastAsia="Arial" w:hAnsi="Arial"/>
          <w:b w:val="false"/>
          <w:bCs w:val="false"/>
        </w:rPr>
        <w:t xml:space="preserve"> means the subject is superior on that factor (comparable adjusted up); </w:t>
      </w:r>
      <w:r>
        <w:rPr>
          <w:rFonts w:ascii="Arial" w:cs="Arial" w:eastAsia="Arial" w:hAnsi="Arial"/>
          <w:b/>
          <w:bCs/>
        </w:rPr>
        <w:t xml:space="preserve">−</w:t>
      </w:r>
      <w:r>
        <w:rPr>
          <w:rFonts w:ascii="Arial" w:cs="Arial" w:eastAsia="Arial" w:hAnsi="Arial"/>
          <w:b w:val="false"/>
          <w:bCs w:val="false"/>
        </w:rPr>
        <w:t xml:space="preserve"> means the comparable is superior (adjusted down). Property adjustments are summed and applied to the normalized rent.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11"/>
        <w:gridCol w:w="1609"/>
        <w:gridCol w:w="1609"/>
        <w:gridCol w:w="1609"/>
        <w:gridCol w:w="1609"/>
        <w:gridCol w:w="2735"/>
        <w:gridCol w:w="1609"/>
        <w:gridCol w:w="1609"/>
      </w:tblGrid>
      <w:tr>
        <w:trPr>
          <w:cantSplit/>
          <w:tblHeader/>
        </w:trPr>
        <w:tc>
          <w:tcPr>
            <w:tcW w:type="dxa" w:w="2011"/>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Factor</w:t>
            </w:r>
          </w:p>
        </w:tc>
        <w:tc>
          <w:tcPr>
            <w:tcW w:type="dxa" w:w="160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74A Montauk Hwy</w:t>
            </w:r>
          </w:p>
        </w:tc>
        <w:tc>
          <w:tcPr>
            <w:tcW w:type="dxa" w:w="160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11 Indian Wells, 1st fl.</w:t>
            </w:r>
          </w:p>
        </w:tc>
        <w:tc>
          <w:tcPr>
            <w:tcW w:type="dxa" w:w="160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2095 Montauk Hwy</w:t>
            </w:r>
          </w:p>
        </w:tc>
        <w:tc>
          <w:tcPr>
            <w:tcW w:type="dxa" w:w="160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17 S Edison, Montauk</w:t>
            </w:r>
          </w:p>
        </w:tc>
        <w:tc>
          <w:tcPr>
            <w:tcW w:type="dxa" w:w="2735"/>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249 Main St (2021)</w:t>
            </w:r>
          </w:p>
        </w:tc>
        <w:tc>
          <w:tcPr>
            <w:tcW w:type="dxa" w:w="160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9 Railroad Ave, EH</w:t>
            </w:r>
          </w:p>
        </w:tc>
        <w:tc>
          <w:tcPr>
            <w:tcW w:type="dxa" w:w="160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7 Hill St, Southampton</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Starting rent and label</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$84.81 NNN (ASK) [28]</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$65.00 NNN (ASK) [33]</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$40.21 NNN (CLOSED) [42]</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$57.16 NNN (ASK) [50]</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$50,000 per season (HISTORICAL ASK) [47]</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$83.33 NNN (ASK) [57]</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$71.35 NNN (ASK) [64]</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Normalization</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None</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None</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None</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None</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÷0.71 = $70,423 annual-equiv.; ÷1,500 SF ground-equiv. (basement at 50%) = $46.95 gross-equiv.; less $7.00 = $39.95 NNN</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None</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None</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Transaction status</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Market timing</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Normalized $/SF</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$76.33</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$58.50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$40.21</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$54.30</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$41.75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$75.00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$67.78</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Location / visibility / Main St frontage</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Foot traffic</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Size</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+13%</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+23%</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+16%</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Parking</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Patio / outdoor</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Kitchen / restaurant readiness</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Building condition / historic</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Signage / zoning</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Storage / ancillary space</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Lease structure</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 (converted)</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Seasonality</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 (converted)</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TI / key money</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Net property adjustment</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0%</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+18%</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+23%</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+13%</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+14%</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+11%</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−8%</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Adjusted $/SF (NNN, ESTIMATE)</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$76.33</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$69.03</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$49.46</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$61.36</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$47.59</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$83.25</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$62.36</w:t>
            </w:r>
          </w:p>
        </w:tc>
      </w:tr>
      <w:tr>
        <w:trPr>
          <w:cantSplit/>
          <w:tblHeader w:val="false"/>
        </w:trPr>
        <w:tc>
          <w:tcPr>
            <w:tcW w:type="dxa" w:w="2011"/>
            <w:tcBorders>
              <w:top w:val="single" w:color="A6ACB5" w:sz="4"/>
              <w:left w:val="single" w:color="A6ACB5" w:sz="4"/>
              <w:bottom w:val="single" w:color="A6ACB5" w:sz="4"/>
              <w:right w:val="single" w:color="A6ACB5" w:sz="4"/>
            </w:tcBorders>
            <w:shd w:fill="F5F6F8" w:color="auto" w:val="clear"/>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Tier / grade / score</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 / B / 3</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 / B / 3</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 / B / 2</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 / B / 3</w:t>
            </w:r>
          </w:p>
        </w:tc>
        <w:tc>
          <w:tcPr>
            <w:tcW w:type="dxa" w:w="273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 / C / 2</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 / B / 2</w:t>
            </w:r>
          </w:p>
        </w:tc>
        <w:tc>
          <w:tcPr>
            <w:tcW w:type="dxa" w:w="160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 / B (conflict) / 2</w:t>
            </w:r>
          </w:p>
        </w:tc>
      </w:tr>
    </w:tbl>
    <w:p>
      <w:pPr>
        <w:spacing w:after="160" w:before="0"/>
      </w:pPr>
    </w:p>
    <w:p>
      <w:pPr>
        <w:keepNext/>
        <w:spacing w:after="140" w:line="276"/>
      </w:pPr>
      <w:r>
        <w:rPr>
          <w:rFonts w:ascii="Arial" w:cs="Arial" w:eastAsia="Arial" w:hAnsi="Arial"/>
          <w:b/>
          <w:bCs/>
        </w:rPr>
        <w:t xml:space="preserve">Why each percentage was chosen.</w:t>
      </w:r>
    </w:p>
    <w:p>
      <w:pPr>
        <w:keepNext w:val="false"/>
        <w:spacing w:after="140" w:line="276"/>
      </w:pPr>
      <w:r>
        <w:rPr>
          <w:rFonts w:ascii="Arial" w:cs="Arial" w:eastAsia="Arial" w:hAnsi="Arial"/>
          <w:b/>
          <w:bCs/>
        </w:rPr>
        <w:t xml:space="preserve">Location, visibility and frontage.</w:t>
      </w:r>
      <w:r>
        <w:rPr>
          <w:rFonts w:ascii="Arial" w:cs="Arial" w:eastAsia="Arial" w:hAnsi="Arial"/>
          <w:b w:val="false"/>
          <w:bCs w:val="false"/>
        </w:rPr>
        <w:t xml:space="preserve"> The subject is an at-grade corner storefront in the Main Street core, next to the Town lot and the library [2][4][18]. 74A also fronts NY-27 at the west end of the hamlet with highway visibility, so it gets 0 for location, with its pedestrian disadvantage captured under foot traffic. 11 Indian Wells sits at the Main Street corner but is entered by "a welcoming entry staircase from the sidewalk" [33], so the subject's at-grade storefront earns +5%. 2095 Montauk Highway is a roadside site about six miles east of the hamlet on the Napeague stretch [42]; +15% reflects the core-versus-off-core spread, which historically ran to 35–65% between village tiers [89] and is applied here conservatively. Downtown Montauk is treated as equivalent to Amagansett's core (0). East Hampton Village and Southampton Village have larger year-round trade areas than Amagansett, so 9 Railroad Ave and 7 Hill St each take −5%.</w:t>
      </w:r>
    </w:p>
    <w:p>
      <w:pPr>
        <w:keepNext w:val="false"/>
        <w:spacing w:after="140" w:line="276"/>
      </w:pPr>
      <w:r>
        <w:rPr>
          <w:rFonts w:ascii="Arial" w:cs="Arial" w:eastAsia="Arial" w:hAnsi="Arial"/>
          <w:b/>
          <w:bCs/>
        </w:rPr>
        <w:t xml:space="preserve">Foot traffic.</w:t>
      </w:r>
      <w:r>
        <w:rPr>
          <w:rFonts w:ascii="Arial" w:cs="Arial" w:eastAsia="Arial" w:hAnsi="Arial"/>
          <w:b w:val="false"/>
          <w:bCs w:val="false"/>
        </w:rPr>
        <w:t xml:space="preserve"> The subject's pedestrian position (+5% versus 74A and versus 2095's drive-to stretch) and Railroad Avenue's secondary-street status (+5%) are modest. Downtown Montauk, near the beach among "some of the region's highest-grossing restaurant destinations" [50], has stronger summer volume (−5%).</w:t>
      </w:r>
    </w:p>
    <w:p>
      <w:pPr>
        <w:keepNext w:val="false"/>
        <w:spacing w:after="140" w:line="276"/>
      </w:pPr>
      <w:r>
        <w:rPr>
          <w:rFonts w:ascii="Arial" w:cs="Arial" w:eastAsia="Arial" w:hAnsi="Arial"/>
          <w:b/>
          <w:bCs/>
        </w:rPr>
        <w:t xml:space="preserve">Size.</w:t>
      </w:r>
      <w:r>
        <w:rPr>
          <w:rFonts w:ascii="Arial" w:cs="Arial" w:eastAsia="Arial" w:hAnsi="Arial"/>
          <w:b w:val="false"/>
          <w:bCs w:val="false"/>
        </w:rPr>
        <w:t xml:space="preserve"> These figures come from the 0.15 elasticity formula: 2,830 SF gives +15%, 2,480 SF +13%, 4,476 SF +23%, 2,729 SF +15%, 3,000 SF +16%, 925 SF −3%, and 1,000 SF ground floor −1%.</w:t>
      </w:r>
    </w:p>
    <w:p>
      <w:pPr>
        <w:keepNext w:val="false"/>
        <w:spacing w:after="140" w:line="276"/>
      </w:pPr>
      <w:r>
        <w:rPr>
          <w:rFonts w:ascii="Arial" w:cs="Arial" w:eastAsia="Arial" w:hAnsi="Arial"/>
          <w:b/>
          <w:bCs/>
        </w:rPr>
        <w:t xml:space="preserve">Parking.</w:t>
      </w:r>
      <w:r>
        <w:rPr>
          <w:rFonts w:ascii="Arial" w:cs="Arial" w:eastAsia="Arial" w:hAnsi="Arial"/>
          <w:b w:val="false"/>
          <w:bCs w:val="false"/>
        </w:rPr>
        <w:t xml:space="preserve"> The subject has no on-site parking, but adjoins a Town lot planned at about 185 time-limited spaces [25]. Dedicated on-site parking is superior: 74A has 31 spaces [28], 2095 has "an ample parking lot" [42] and 9 Railroad has "ample parking" [57], each −10%. 11 Indian Wells shares a 33-space lot among many tenants [36], so −5%. 17 S Edison has only a side alley for delivery and employee parking [50], so the subject's lot adjacency is superior (+5%).</w:t>
      </w:r>
    </w:p>
    <w:p>
      <w:pPr>
        <w:keepNext w:val="false"/>
        <w:spacing w:after="140" w:line="276"/>
      </w:pPr>
      <w:r>
        <w:rPr>
          <w:rFonts w:ascii="Arial" w:cs="Arial" w:eastAsia="Arial" w:hAnsi="Arial"/>
          <w:b/>
          <w:bCs/>
        </w:rPr>
        <w:t xml:space="preserve">Patio.</w:t>
      </w:r>
      <w:r>
        <w:rPr>
          <w:rFonts w:ascii="Arial" w:cs="Arial" w:eastAsia="Arial" w:hAnsi="Arial"/>
          <w:b w:val="false"/>
          <w:bCs w:val="false"/>
        </w:rPr>
        <w:t xml:space="preserve"> 74A has an "expansive open patio" with bar and 30 outdoor seats [28], and 2095 has 450 SF of approved outdoor seating plus other outdoor space [42], each −5%. Where no outdoor space is stated (249 Main, 9 Railroad, 7 Hill St), the subject's patio earns +5%.</w:t>
      </w:r>
    </w:p>
    <w:p>
      <w:pPr>
        <w:keepNext w:val="false"/>
        <w:spacing w:after="140" w:line="276"/>
      </w:pPr>
      <w:r>
        <w:rPr>
          <w:rFonts w:ascii="Arial" w:cs="Arial" w:eastAsia="Arial" w:hAnsi="Arial"/>
          <w:b/>
          <w:bCs/>
        </w:rPr>
        <w:t xml:space="preserve">Kitchen and restaurant readiness.</w:t>
      </w:r>
      <w:r>
        <w:rPr>
          <w:rFonts w:ascii="Arial" w:cs="Arial" w:eastAsia="Arial" w:hAnsi="Arial"/>
          <w:b w:val="false"/>
          <w:bCs w:val="false"/>
        </w:rPr>
        <w:t xml:space="preserve"> The subject's kitchen is very small [18], so comparables with large kitchens take −10%: 74A has an "oversized kitchen," "multiple walk-ins" and a basement legal prep area [28], and 17 S Edison has a "large kitchen" and a 112 SF walk-in freezer [50]. 2095 has double hoods but is delivered as a "clean white box" without furniture, fixtures or equipment [42]; these offset (0). Dry spaces with no wet-use entitlement (11 Indian Wells, 9 Railroad, 249 Main) take +10% for the subject's scarce wet use [10][12]; 7 Hill St permits only "modified wet uses" [64], so +5%. The wet-use premium is held to 10% because, within a given village, restaurant boxes often ask less per SF than small dry shops. Montauk's restaurant asks $57.16 [50] against $80.69 for dry retail [96], and Southampton's grocery space asks $77.42 [66] against small shops above $100 [65]. The difference largely reflects size and back-of-house area, and key money captures the turnkey value.</w:t>
      </w:r>
    </w:p>
    <w:p>
      <w:pPr>
        <w:keepNext w:val="false"/>
        <w:spacing w:after="140" w:line="276"/>
      </w:pPr>
      <w:r>
        <w:rPr>
          <w:rFonts w:ascii="Arial" w:cs="Arial" w:eastAsia="Arial" w:hAnsi="Arial"/>
          <w:b/>
          <w:bCs/>
        </w:rPr>
        <w:t xml:space="preserve">Condition and historic status.</w:t>
      </w:r>
      <w:r>
        <w:rPr>
          <w:rFonts w:ascii="Arial" w:cs="Arial" w:eastAsia="Arial" w:hAnsi="Arial"/>
          <w:b w:val="false"/>
          <w:bCs w:val="false"/>
        </w:rPr>
        <w:t xml:space="preserve"> Comparables marketed as renovated or fully built-out take −5% against a subject whose operator recalls constant repairs and whose current condition is Unknown [18]: 74A ("Renovated in 2020... central A/C") [28], 11 Indian Wells ("full build-out," elevator) [33], 9 Railroad (renovated as a gallery) [57] and 7 Hill St (renovated complex) [65]. No adjustment is made for historic-district ARB constraints alone, since 11 Indian Wells and 249 Main share them [4].</w:t>
      </w:r>
    </w:p>
    <w:p>
      <w:pPr>
        <w:keepNext w:val="false"/>
        <w:spacing w:after="140" w:line="276"/>
      </w:pPr>
      <w:r>
        <w:rPr>
          <w:rFonts w:ascii="Arial" w:cs="Arial" w:eastAsia="Arial" w:hAnsi="Arial"/>
          <w:b/>
          <w:bCs/>
        </w:rPr>
        <w:t xml:space="preserve">Signage and zoning.</w:t>
      </w:r>
      <w:r>
        <w:rPr>
          <w:rFonts w:ascii="Arial" w:cs="Arial" w:eastAsia="Arial" w:hAnsi="Arial"/>
          <w:b w:val="false"/>
          <w:bCs w:val="false"/>
        </w:rPr>
        <w:t xml:space="preserve"> All seven permit the comparable's current use; the subject's ARB sign limits are offset by its core position (0).</w:t>
      </w:r>
    </w:p>
    <w:p>
      <w:pPr>
        <w:keepNext w:val="false"/>
        <w:spacing w:after="140" w:line="276"/>
      </w:pPr>
      <w:r>
        <w:rPr>
          <w:rFonts w:ascii="Arial" w:cs="Arial" w:eastAsia="Arial" w:hAnsi="Arial"/>
          <w:b/>
          <w:bCs/>
        </w:rPr>
        <w:t xml:space="preserve">Storage and ancillary space.</w:t>
      </w:r>
      <w:r>
        <w:rPr>
          <w:rFonts w:ascii="Arial" w:cs="Arial" w:eastAsia="Arial" w:hAnsi="Arial"/>
          <w:b w:val="false"/>
          <w:bCs w:val="false"/>
        </w:rPr>
        <w:t xml:space="preserve"> 74A includes a finished lower level, legal prep area and office (−5%) [28]. 2095 includes a three-bedroom apartment and 1.1 acres (−10%) [42].</w:t>
      </w:r>
    </w:p>
    <w:p>
      <w:pPr>
        <w:keepNext w:val="false"/>
        <w:spacing w:after="140" w:line="276"/>
      </w:pPr>
      <w:r>
        <w:rPr>
          <w:rFonts w:ascii="Arial" w:cs="Arial" w:eastAsia="Arial" w:hAnsi="Arial"/>
          <w:b/>
          <w:bCs/>
        </w:rPr>
        <w:t xml:space="preserve">Seasonality.</w:t>
      </w:r>
      <w:r>
        <w:rPr>
          <w:rFonts w:ascii="Arial" w:cs="Arial" w:eastAsia="Arial" w:hAnsi="Arial"/>
          <w:b w:val="false"/>
          <w:bCs w:val="false"/>
        </w:rPr>
        <w:t xml:space="preserve"> This applies to the hamlet's market, not to the tenant's chosen hours. The Napeague stretch depends on resort traffic (+5% to the subject). Year-round village populations in East Hampton and Southampton (−5%) are an appraiser judgment consistent with the 2011 observation that the "prime shopping season is just three months" in summer-driven locations [89].</w:t>
      </w:r>
    </w:p>
    <w:p>
      <w:pPr>
        <w:keepNext w:val="false"/>
        <w:spacing w:after="140" w:line="276"/>
      </w:pPr>
      <w:r>
        <w:rPr>
          <w:rFonts w:ascii="Arial" w:cs="Arial" w:eastAsia="Arial" w:hAnsi="Arial"/>
          <w:b/>
          <w:bCs/>
        </w:rPr>
        <w:t xml:space="preserve">Key money.</w:t>
      </w:r>
      <w:r>
        <w:rPr>
          <w:rFonts w:ascii="Arial" w:cs="Arial" w:eastAsia="Arial" w:hAnsi="Arial"/>
          <w:b w:val="false"/>
          <w:bCs w:val="false"/>
        </w:rPr>
        <w:t xml:space="preserve"> 74A: $700,000 ÷ 10 years ÷ 2,830 SF = $24.73/SF; 50% = $12.37/SF, about 16% of the normalized $76.33, rounded to </w:t>
      </w:r>
      <w:r>
        <w:rPr>
          <w:rFonts w:ascii="Arial" w:cs="Arial" w:eastAsia="Arial" w:hAnsi="Arial"/>
          <w:b/>
          <w:bCs/>
        </w:rPr>
        <w:t xml:space="preserve">+15%</w:t>
      </w:r>
      <w:r>
        <w:rPr>
          <w:rFonts w:ascii="Arial" w:cs="Arial" w:eastAsia="Arial" w:hAnsi="Arial"/>
          <w:b w:val="false"/>
          <w:bCs w:val="false"/>
        </w:rPr>
        <w:t xml:space="preserve"> [28]. 17 S Edison: $250,000 ÷ 10 ÷ 2,729 = $9.16/SF; 50% = $4.58/SF, about 8% of $54.30, so </w:t>
      </w:r>
      <w:r>
        <w:rPr>
          <w:rFonts w:ascii="Arial" w:cs="Arial" w:eastAsia="Arial" w:hAnsi="Arial"/>
          <w:b/>
          <w:bCs/>
        </w:rPr>
        <w:t xml:space="preserve">+8%</w:t>
      </w:r>
      <w:r>
        <w:rPr>
          <w:rFonts w:ascii="Arial" w:cs="Arial" w:eastAsia="Arial" w:hAnsi="Arial"/>
          <w:b w:val="false"/>
          <w:bCs w:val="false"/>
        </w:rPr>
        <w:t xml:space="preserve"> [50].</w:t>
      </w:r>
    </w:p>
    <w:p>
      <w:pPr>
        <w:sectPr>
          <w:headerReference w:type="default" r:id="rId15"/>
          <w:footerReference w:type="default" r:id="rId16"/>
          <w:pgSz w:w="15840" w:h="12240" w:orient="landscape"/>
          <w:pgMar w:top="840" w:right="720" w:bottom="780" w:left="720" w:header="400" w:footer="380" w:gutter="0"/>
          <w:pgNumType/>
          <w:docGrid w:linePitch="360"/>
        </w:sectPr>
      </w:pPr>
    </w:p>
    <w:p>
      <w:pPr>
        <w:pStyle w:val="Heading1"/>
      </w:pPr>
      <w:bookmarkStart w:name="sec9" w:id="109"/>
      <w:r>
        <w:t xml:space="preserve">Market Rent Calculation</w:t>
      </w:r>
      <w:bookmarkEnd w:id="109"/>
    </w:p>
    <w:p>
      <w:pPr>
        <w:keepNext w:val="false"/>
        <w:spacing w:after="140" w:line="276"/>
      </w:pPr>
      <w:r>
        <w:rPr>
          <w:rFonts w:ascii="Arial" w:cs="Arial" w:eastAsia="Arial" w:hAnsi="Arial"/>
          <w:b/>
          <w:bCs/>
        </w:rPr>
        <w:t xml:space="preserve">Method A: direct comparable adjusted range.</w:t>
      </w:r>
      <w:r>
        <w:rPr>
          <w:rFonts w:ascii="Arial" w:cs="Arial" w:eastAsia="Arial" w:hAnsi="Arial"/>
          <w:b w:val="false"/>
          <w:bCs w:val="false"/>
        </w:rPr>
        <w:t xml:space="preserve"> The seven adjusted indicators range from </w:t>
      </w:r>
      <w:r>
        <w:rPr>
          <w:rFonts w:ascii="Arial" w:cs="Arial" w:eastAsia="Arial" w:hAnsi="Arial"/>
          <w:b/>
          <w:bCs/>
        </w:rPr>
        <w:t xml:space="preserve">$47.59 to $83.25/SF NNN</w:t>
      </w:r>
      <w:r>
        <w:rPr>
          <w:rFonts w:ascii="Arial" w:cs="Arial" w:eastAsia="Arial" w:hAnsi="Arial"/>
          <w:b w:val="false"/>
          <w:bCs w:val="false"/>
        </w:rPr>
        <w:t xml:space="preserve"> (simple mean $64.20). The three comparables scored 3 for comparability (74A, 11 Indian Wells first floor and 17 S Edison) are the most direct evidence, and they range from </w:t>
      </w:r>
      <w:r>
        <w:rPr>
          <w:rFonts w:ascii="Arial" w:cs="Arial" w:eastAsia="Arial" w:hAnsi="Arial"/>
          <w:b/>
          <w:bCs/>
        </w:rPr>
        <w:t xml:space="preserve">$61.36 to $76.33</w:t>
      </w:r>
      <w:r>
        <w:rPr>
          <w:rFonts w:ascii="Arial" w:cs="Arial" w:eastAsia="Arial" w:hAnsi="Arial"/>
          <w:b w:val="false"/>
          <w:bCs w:val="false"/>
        </w:rPr>
        <w:t xml:space="preserve">, mean </w:t>
      </w:r>
      <w:r>
        <w:rPr>
          <w:rFonts w:ascii="Arial" w:cs="Arial" w:eastAsia="Arial" w:hAnsi="Arial"/>
          <w:b/>
          <w:bCs/>
        </w:rPr>
        <w:t xml:space="preserve">$68.91</w:t>
      </w:r>
      <w:r>
        <w:rPr>
          <w:rFonts w:ascii="Arial" w:cs="Arial" w:eastAsia="Arial" w:hAnsi="Arial"/>
          <w:b w:val="false"/>
          <w:bCs w:val="false"/>
        </w:rPr>
        <w:t xml:space="preserve"> [28][33][50]. Method A indicates </w:t>
      </w:r>
      <w:r>
        <w:rPr>
          <w:rFonts w:ascii="Arial" w:cs="Arial" w:eastAsia="Arial" w:hAnsi="Arial"/>
          <w:b/>
          <w:bCs/>
        </w:rPr>
        <w:t xml:space="preserve">about $61–$76/SF, central tendency about $69</w:t>
      </w:r>
      <w:r>
        <w:rPr>
          <w:rFonts w:ascii="Arial" w:cs="Arial" w:eastAsia="Arial" w:hAnsi="Arial"/>
          <w:b w:val="false"/>
          <w:bCs w:val="false"/>
        </w:rPr>
        <w:t xml:space="preserve">.</w:t>
      </w:r>
    </w:p>
    <w:p>
      <w:pPr>
        <w:keepNext/>
        <w:spacing w:after="140" w:line="276"/>
      </w:pPr>
      <w:r>
        <w:rPr>
          <w:rFonts w:ascii="Arial" w:cs="Arial" w:eastAsia="Arial" w:hAnsi="Arial"/>
          <w:b/>
          <w:bCs/>
        </w:rPr>
        <w:t xml:space="preserve">Method B: weighted comparable.</w:t>
      </w:r>
      <w:r>
        <w:rPr>
          <w:rFonts w:ascii="Arial" w:cs="Arial" w:eastAsia="Arial" w:hAnsi="Arial"/>
          <w:b w:val="false"/>
          <w:bCs w:val="false"/>
        </w:rPr>
        <w:t xml:space="preserve"> Weights are not arbitrary. Each comparable's weight is the product of three factors fixed before calculation: </w:t>
      </w:r>
      <w:r>
        <w:rPr>
          <w:rFonts w:ascii="Arial" w:cs="Arial" w:eastAsia="Arial" w:hAnsi="Arial"/>
          <w:b/>
          <w:bCs/>
        </w:rPr>
        <w:t xml:space="preserve">tier</w:t>
      </w:r>
      <w:r>
        <w:rPr>
          <w:rFonts w:ascii="Arial" w:cs="Arial" w:eastAsia="Arial" w:hAnsi="Arial"/>
          <w:b w:val="false"/>
          <w:bCs w:val="false"/>
        </w:rPr>
        <w:t xml:space="preserve"> (Tier 1 = 3, Tier 2 = 2, Tier 3 = 1, reflecting proximity to the subject's submarket and use); </w:t>
      </w:r>
      <w:r>
        <w:rPr>
          <w:rFonts w:ascii="Arial" w:cs="Arial" w:eastAsia="Arial" w:hAnsi="Arial"/>
          <w:b/>
          <w:bCs/>
        </w:rPr>
        <w:t xml:space="preserve">evidence status and grade</w:t>
      </w:r>
      <w:r>
        <w:rPr>
          <w:rFonts w:ascii="Arial" w:cs="Arial" w:eastAsia="Arial" w:hAnsi="Arial"/>
          <w:b w:val="false"/>
          <w:bCs w:val="false"/>
        </w:rPr>
        <w:t xml:space="preserve"> (closed lease = 1.25, reduced from 1.5 because the 2095 price is "Unverified"; current B-grade ask = 1.0; B-grade ask with internal conflict = 0.75; historical C-grade = 0.5; D-grade = 0.25, none used); and </w:t>
      </w:r>
      <w:r>
        <w:rPr>
          <w:rFonts w:ascii="Arial" w:cs="Arial" w:eastAsia="Arial" w:hAnsi="Arial"/>
          <w:b/>
          <w:bCs/>
        </w:rPr>
        <w:t xml:space="preserve">comparability score</w:t>
      </w:r>
      <w:r>
        <w:rPr>
          <w:rFonts w:ascii="Arial" w:cs="Arial" w:eastAsia="Arial" w:hAnsi="Arial"/>
          <w:b w:val="false"/>
          <w:bCs w:val="false"/>
        </w:rPr>
        <w:t xml:space="preserve"> (1–5).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5"/>
        <w:gridCol w:w="1399"/>
        <w:gridCol w:w="754"/>
        <w:gridCol w:w="1265"/>
        <w:gridCol w:w="780"/>
        <w:gridCol w:w="992"/>
        <w:gridCol w:w="954"/>
        <w:gridCol w:w="1721"/>
      </w:tblGrid>
      <w:tr>
        <w:trPr>
          <w:cantSplit/>
          <w:tblHeader/>
        </w:trPr>
        <w:tc>
          <w:tcPr>
            <w:tcW w:type="dxa" w:w="2215"/>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Comparable</w:t>
            </w:r>
          </w:p>
        </w:tc>
        <w:tc>
          <w:tcPr>
            <w:tcW w:type="dxa" w:w="139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Adjusted $/SF</w:t>
            </w:r>
          </w:p>
        </w:tc>
        <w:tc>
          <w:tcPr>
            <w:tcW w:type="dxa" w:w="754"/>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Tier wt.</w:t>
            </w:r>
          </w:p>
        </w:tc>
        <w:tc>
          <w:tcPr>
            <w:tcW w:type="dxa" w:w="1265"/>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Evidence wt.</w:t>
            </w:r>
          </w:p>
        </w:tc>
        <w:tc>
          <w:tcPr>
            <w:tcW w:type="dxa" w:w="780"/>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Score</w:t>
            </w:r>
          </w:p>
        </w:tc>
        <w:tc>
          <w:tcPr>
            <w:tcW w:type="dxa" w:w="992"/>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Weight</w:t>
            </w:r>
          </w:p>
        </w:tc>
        <w:tc>
          <w:tcPr>
            <w:tcW w:type="dxa" w:w="954"/>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Share</w:t>
            </w:r>
          </w:p>
        </w:tc>
        <w:tc>
          <w:tcPr>
            <w:tcW w:type="dxa" w:w="1721"/>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Contribution</w:t>
            </w:r>
          </w:p>
        </w:tc>
      </w:tr>
      <w:tr>
        <w:trPr>
          <w:cantSplit/>
          <w:tblHeader w:val="false"/>
        </w:trPr>
        <w:tc>
          <w:tcPr>
            <w:tcW w:type="dxa" w:w="221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74A Montauk Hwy</w:t>
            </w:r>
          </w:p>
        </w:tc>
        <w:tc>
          <w:tcPr>
            <w:tcW w:type="dxa" w:w="139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$76.33</w:t>
            </w:r>
          </w:p>
        </w:tc>
        <w:tc>
          <w:tcPr>
            <w:tcW w:type="dxa" w:w="7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1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7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99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9.0</w:t>
            </w:r>
          </w:p>
        </w:tc>
        <w:tc>
          <w:tcPr>
            <w:tcW w:type="dxa" w:w="9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31.6%</w:t>
            </w:r>
          </w:p>
        </w:tc>
        <w:tc>
          <w:tcPr>
            <w:tcW w:type="dxa" w:w="172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$24.10</w:t>
            </w:r>
          </w:p>
        </w:tc>
      </w:tr>
      <w:tr>
        <w:trPr>
          <w:cantSplit/>
          <w:tblHeader w:val="false"/>
        </w:trPr>
        <w:tc>
          <w:tcPr>
            <w:tcW w:type="dxa" w:w="221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11 Indian Wells Hwy, 1st fl.</w:t>
            </w:r>
          </w:p>
        </w:tc>
        <w:tc>
          <w:tcPr>
            <w:tcW w:type="dxa" w:w="139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$69.03</w:t>
            </w:r>
          </w:p>
        </w:tc>
        <w:tc>
          <w:tcPr>
            <w:tcW w:type="dxa" w:w="7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1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7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99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6.0</w:t>
            </w:r>
          </w:p>
        </w:tc>
        <w:tc>
          <w:tcPr>
            <w:tcW w:type="dxa" w:w="9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21.1%</w:t>
            </w:r>
          </w:p>
        </w:tc>
        <w:tc>
          <w:tcPr>
            <w:tcW w:type="dxa" w:w="172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$14.53</w:t>
            </w:r>
          </w:p>
        </w:tc>
      </w:tr>
      <w:tr>
        <w:trPr>
          <w:cantSplit/>
          <w:tblHeader w:val="false"/>
        </w:trPr>
        <w:tc>
          <w:tcPr>
            <w:tcW w:type="dxa" w:w="221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2095 Montauk Hwy</w:t>
            </w:r>
          </w:p>
        </w:tc>
        <w:tc>
          <w:tcPr>
            <w:tcW w:type="dxa" w:w="139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$49.46</w:t>
            </w:r>
          </w:p>
        </w:tc>
        <w:tc>
          <w:tcPr>
            <w:tcW w:type="dxa" w:w="7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1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1.25</w:t>
            </w:r>
          </w:p>
        </w:tc>
        <w:tc>
          <w:tcPr>
            <w:tcW w:type="dxa" w:w="7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99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5.0</w:t>
            </w:r>
          </w:p>
        </w:tc>
        <w:tc>
          <w:tcPr>
            <w:tcW w:type="dxa" w:w="9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17.5%</w:t>
            </w:r>
          </w:p>
        </w:tc>
        <w:tc>
          <w:tcPr>
            <w:tcW w:type="dxa" w:w="172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$8.68</w:t>
            </w:r>
          </w:p>
        </w:tc>
      </w:tr>
      <w:tr>
        <w:trPr>
          <w:cantSplit/>
          <w:tblHeader w:val="false"/>
        </w:trPr>
        <w:tc>
          <w:tcPr>
            <w:tcW w:type="dxa" w:w="221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17 S Edison St</w:t>
            </w:r>
          </w:p>
        </w:tc>
        <w:tc>
          <w:tcPr>
            <w:tcW w:type="dxa" w:w="139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$61.36</w:t>
            </w:r>
          </w:p>
        </w:tc>
        <w:tc>
          <w:tcPr>
            <w:tcW w:type="dxa" w:w="7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1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7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99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3.0</w:t>
            </w:r>
          </w:p>
        </w:tc>
        <w:tc>
          <w:tcPr>
            <w:tcW w:type="dxa" w:w="9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10.5%</w:t>
            </w:r>
          </w:p>
        </w:tc>
        <w:tc>
          <w:tcPr>
            <w:tcW w:type="dxa" w:w="172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$6.46</w:t>
            </w:r>
          </w:p>
        </w:tc>
      </w:tr>
      <w:tr>
        <w:trPr>
          <w:cantSplit/>
          <w:tblHeader w:val="false"/>
        </w:trPr>
        <w:tc>
          <w:tcPr>
            <w:tcW w:type="dxa" w:w="221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249 Main St (2021)</w:t>
            </w:r>
          </w:p>
        </w:tc>
        <w:tc>
          <w:tcPr>
            <w:tcW w:type="dxa" w:w="139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$47.59</w:t>
            </w:r>
          </w:p>
        </w:tc>
        <w:tc>
          <w:tcPr>
            <w:tcW w:type="dxa" w:w="7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1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0.5</w:t>
            </w:r>
          </w:p>
        </w:tc>
        <w:tc>
          <w:tcPr>
            <w:tcW w:type="dxa" w:w="7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99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w:t>
            </w:r>
          </w:p>
        </w:tc>
        <w:tc>
          <w:tcPr>
            <w:tcW w:type="dxa" w:w="9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7.0%</w:t>
            </w:r>
          </w:p>
        </w:tc>
        <w:tc>
          <w:tcPr>
            <w:tcW w:type="dxa" w:w="172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$3.34</w:t>
            </w:r>
          </w:p>
        </w:tc>
      </w:tr>
      <w:tr>
        <w:trPr>
          <w:cantSplit/>
          <w:tblHeader w:val="false"/>
        </w:trPr>
        <w:tc>
          <w:tcPr>
            <w:tcW w:type="dxa" w:w="221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9 Railroad Ave</w:t>
            </w:r>
          </w:p>
        </w:tc>
        <w:tc>
          <w:tcPr>
            <w:tcW w:type="dxa" w:w="139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$83.25</w:t>
            </w:r>
          </w:p>
        </w:tc>
        <w:tc>
          <w:tcPr>
            <w:tcW w:type="dxa" w:w="7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1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7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99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2.0</w:t>
            </w:r>
          </w:p>
        </w:tc>
        <w:tc>
          <w:tcPr>
            <w:tcW w:type="dxa" w:w="9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7.0%</w:t>
            </w:r>
          </w:p>
        </w:tc>
        <w:tc>
          <w:tcPr>
            <w:tcW w:type="dxa" w:w="172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$5.84</w:t>
            </w:r>
          </w:p>
        </w:tc>
      </w:tr>
      <w:tr>
        <w:trPr>
          <w:cantSplit/>
          <w:tblHeader w:val="false"/>
        </w:trPr>
        <w:tc>
          <w:tcPr>
            <w:tcW w:type="dxa" w:w="221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7 Hill St</w:t>
            </w:r>
          </w:p>
        </w:tc>
        <w:tc>
          <w:tcPr>
            <w:tcW w:type="dxa" w:w="139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$62.36</w:t>
            </w:r>
          </w:p>
        </w:tc>
        <w:tc>
          <w:tcPr>
            <w:tcW w:type="dxa" w:w="7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1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0.75</w:t>
            </w:r>
          </w:p>
        </w:tc>
        <w:tc>
          <w:tcPr>
            <w:tcW w:type="dxa" w:w="7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99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1.5</w:t>
            </w:r>
          </w:p>
        </w:tc>
        <w:tc>
          <w:tcPr>
            <w:tcW w:type="dxa" w:w="9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5.3%</w:t>
            </w:r>
          </w:p>
        </w:tc>
        <w:tc>
          <w:tcPr>
            <w:tcW w:type="dxa" w:w="172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$3.28</w:t>
            </w:r>
          </w:p>
        </w:tc>
      </w:tr>
      <w:tr>
        <w:trPr>
          <w:cantSplit/>
          <w:tblHeader w:val="false"/>
        </w:trPr>
        <w:tc>
          <w:tcPr>
            <w:tcW w:type="dxa" w:w="221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Total</w:t>
            </w:r>
          </w:p>
        </w:tc>
        <w:tc>
          <w:tcPr>
            <w:tcW w:type="dxa" w:w="139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sz w:val="16"/>
                <w:szCs w:val="16"/>
              </w:rPr>
              <w:t xml:space="preserve"/>
            </w:r>
          </w:p>
        </w:tc>
        <w:tc>
          <w:tcPr>
            <w:tcW w:type="dxa" w:w="7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sz w:val="16"/>
                <w:szCs w:val="16"/>
              </w:rPr>
              <w:t xml:space="preserve"/>
            </w:r>
          </w:p>
        </w:tc>
        <w:tc>
          <w:tcPr>
            <w:tcW w:type="dxa" w:w="126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sz w:val="16"/>
                <w:szCs w:val="16"/>
              </w:rPr>
              <w:t xml:space="preserve"/>
            </w:r>
          </w:p>
        </w:tc>
        <w:tc>
          <w:tcPr>
            <w:tcW w:type="dxa" w:w="78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sz w:val="16"/>
                <w:szCs w:val="16"/>
              </w:rPr>
              <w:t xml:space="preserve"/>
            </w:r>
          </w:p>
        </w:tc>
        <w:tc>
          <w:tcPr>
            <w:tcW w:type="dxa" w:w="992"/>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28.5</w:t>
            </w:r>
          </w:p>
        </w:tc>
        <w:tc>
          <w:tcPr>
            <w:tcW w:type="dxa" w:w="95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100%</w:t>
            </w:r>
          </w:p>
        </w:tc>
        <w:tc>
          <w:tcPr>
            <w:tcW w:type="dxa" w:w="172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$66.24</w:t>
            </w:r>
          </w:p>
        </w:tc>
      </w:tr>
    </w:tbl>
    <w:p>
      <w:pPr>
        <w:spacing w:after="160" w:before="0"/>
      </w:pPr>
    </w:p>
    <w:p>
      <w:pPr>
        <w:keepNext w:val="false"/>
        <w:spacing w:after="140" w:line="276"/>
      </w:pPr>
      <w:r>
        <w:rPr>
          <w:rFonts w:ascii="Arial" w:cs="Arial" w:eastAsia="Arial" w:hAnsi="Arial"/>
          <w:b w:val="false"/>
          <w:bCs w:val="false"/>
        </w:rPr>
        <w:t xml:space="preserve">Arithmetic: (76.33×9 + 69.03×6 + 49.46×5 + 61.36×3 + 47.59×2 + 83.25×2 + 62.36×1.5) ÷ 28.5 = 1,887.75 ÷ 28.5 = </w:t>
      </w:r>
      <w:r>
        <w:rPr>
          <w:rFonts w:ascii="Arial" w:cs="Arial" w:eastAsia="Arial" w:hAnsi="Arial"/>
          <w:b/>
          <w:bCs/>
        </w:rPr>
        <w:t xml:space="preserve">$66.24/SF NNN</w:t>
      </w:r>
      <w:r>
        <w:rPr>
          <w:rFonts w:ascii="Arial" w:cs="Arial" w:eastAsia="Arial" w:hAnsi="Arial"/>
          <w:b w:val="false"/>
          <w:bCs w:val="false"/>
        </w:rPr>
        <w:t xml:space="preserve">.</w:t>
      </w:r>
    </w:p>
    <w:p>
      <w:pPr>
        <w:keepNext w:val="false"/>
        <w:spacing w:after="140" w:line="276"/>
      </w:pPr>
      <w:r>
        <w:rPr>
          <w:rFonts w:ascii="Arial" w:cs="Arial" w:eastAsia="Arial" w:hAnsi="Arial"/>
          <w:b/>
          <w:bCs/>
        </w:rPr>
        <w:t xml:space="preserve">Robustness.</w:t>
      </w:r>
      <w:r>
        <w:rPr>
          <w:rFonts w:ascii="Arial" w:cs="Arial" w:eastAsia="Arial" w:hAnsi="Arial"/>
          <w:b w:val="false"/>
          <w:bCs w:val="false"/>
        </w:rPr>
        <w:t xml:space="preserve"> Treating 74A's key money as entirely equipment (no key-money adjustment) lowers 74A to $64.88 and the weighted result to </w:t>
      </w:r>
      <w:r>
        <w:rPr>
          <w:rFonts w:ascii="Arial" w:cs="Arial" w:eastAsia="Arial" w:hAnsi="Arial"/>
          <w:b/>
          <w:bCs/>
        </w:rPr>
        <w:t xml:space="preserve">$62.62</w:t>
      </w:r>
      <w:r>
        <w:rPr>
          <w:rFonts w:ascii="Arial" w:cs="Arial" w:eastAsia="Arial" w:hAnsi="Arial"/>
          <w:b w:val="false"/>
          <w:bCs w:val="false"/>
        </w:rPr>
        <w:t xml:space="preserve">. Halving the ask-to-achieved discount for 74A and 11 Indian Wells (−5% instead of −10%) raises it to </w:t>
      </w:r>
      <w:r>
        <w:rPr>
          <w:rFonts w:ascii="Arial" w:cs="Arial" w:eastAsia="Arial" w:hAnsi="Arial"/>
          <w:b/>
          <w:bCs/>
        </w:rPr>
        <w:t xml:space="preserve">$68.39</w:t>
      </w:r>
      <w:r>
        <w:rPr>
          <w:rFonts w:ascii="Arial" w:cs="Arial" w:eastAsia="Arial" w:hAnsi="Arial"/>
          <w:b w:val="false"/>
          <w:bCs w:val="false"/>
        </w:rPr>
        <w:t xml:space="preserve">. Reasonable alternative assumptions therefore move Method B between about </w:t>
      </w:r>
      <w:r>
        <w:rPr>
          <w:rFonts w:ascii="Arial" w:cs="Arial" w:eastAsia="Arial" w:hAnsi="Arial"/>
          <w:b/>
          <w:bCs/>
        </w:rPr>
        <w:t xml:space="preserve">$62.60 and $68.40</w:t>
      </w:r>
      <w:r>
        <w:rPr>
          <w:rFonts w:ascii="Arial" w:cs="Arial" w:eastAsia="Arial" w:hAnsi="Arial"/>
          <w:b w:val="false"/>
          <w:bCs w:val="false"/>
        </w:rPr>
        <w:t xml:space="preserve">.</w:t>
      </w:r>
    </w:p>
    <w:p>
      <w:pPr>
        <w:keepNext w:val="false"/>
        <w:spacing w:after="140" w:line="276"/>
      </w:pPr>
      <w:r>
        <w:rPr>
          <w:rFonts w:ascii="Arial" w:cs="Arial" w:eastAsia="Arial" w:hAnsi="Arial"/>
          <w:b/>
          <w:bCs/>
        </w:rPr>
        <w:t xml:space="preserve">Method C: market range low / midpoint / high.</w:t>
      </w:r>
      <w:r>
        <w:rPr>
          <w:rFonts w:ascii="Arial" w:cs="Arial" w:eastAsia="Arial" w:hAnsi="Arial"/>
          <w:b w:val="false"/>
          <w:bCs w:val="false"/>
        </w:rPr>
        <w:t xml:space="preserve"> This uses the distribution of the seven adjusted indicators: the 25th percentile is </w:t>
      </w:r>
      <w:r>
        <w:rPr>
          <w:rFonts w:ascii="Arial" w:cs="Arial" w:eastAsia="Arial" w:hAnsi="Arial"/>
          <w:b/>
          <w:bCs/>
        </w:rPr>
        <w:t xml:space="preserve">$55.41</w:t>
      </w:r>
      <w:r>
        <w:rPr>
          <w:rFonts w:ascii="Arial" w:cs="Arial" w:eastAsia="Arial" w:hAnsi="Arial"/>
          <w:b w:val="false"/>
          <w:bCs w:val="false"/>
        </w:rPr>
        <w:t xml:space="preserve">, the median </w:t>
      </w:r>
      <w:r>
        <w:rPr>
          <w:rFonts w:ascii="Arial" w:cs="Arial" w:eastAsia="Arial" w:hAnsi="Arial"/>
          <w:b/>
          <w:bCs/>
        </w:rPr>
        <w:t xml:space="preserve">$62.36</w:t>
      </w:r>
      <w:r>
        <w:rPr>
          <w:rFonts w:ascii="Arial" w:cs="Arial" w:eastAsia="Arial" w:hAnsi="Arial"/>
          <w:b w:val="false"/>
          <w:bCs w:val="false"/>
        </w:rPr>
        <w:t xml:space="preserve"> and the 75th percentile </w:t>
      </w:r>
      <w:r>
        <w:rPr>
          <w:rFonts w:ascii="Arial" w:cs="Arial" w:eastAsia="Arial" w:hAnsi="Arial"/>
          <w:b/>
          <w:bCs/>
        </w:rPr>
        <w:t xml:space="preserve">$72.68</w:t>
      </w:r>
      <w:r>
        <w:rPr>
          <w:rFonts w:ascii="Arial" w:cs="Arial" w:eastAsia="Arial" w:hAnsi="Arial"/>
          <w:b w:val="false"/>
          <w:bCs w:val="false"/>
        </w:rPr>
        <w:t xml:space="preserve"> (linear interpolation of the sorted values $47.59, $49.46, $61.36, $62.36, $69.03, $76.33, $83.25).</w:t>
      </w:r>
    </w:p>
    <w:p>
      <w:pPr>
        <w:keepNext/>
        <w:spacing w:after="140" w:line="276"/>
      </w:pPr>
      <w:r>
        <w:rPr>
          <w:rFonts w:ascii="Arial" w:cs="Arial" w:eastAsia="Arial" w:hAnsi="Arial"/>
          <w:b/>
          <w:bCs/>
        </w:rPr>
        <w:t xml:space="preserve">Reconciliation.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44"/>
        <w:gridCol w:w="1990"/>
        <w:gridCol w:w="1833"/>
        <w:gridCol w:w="2013"/>
      </w:tblGrid>
      <w:tr>
        <w:trPr>
          <w:cantSplit/>
          <w:tblHeader/>
        </w:trPr>
        <w:tc>
          <w:tcPr>
            <w:tcW w:type="dxa" w:w="4244"/>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Method</w:t>
            </w:r>
          </w:p>
        </w:tc>
        <w:tc>
          <w:tcPr>
            <w:tcW w:type="dxa" w:w="1990"/>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Low</w:t>
            </w:r>
          </w:p>
        </w:tc>
        <w:tc>
          <w:tcPr>
            <w:tcW w:type="dxa" w:w="183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Central</w:t>
            </w:r>
          </w:p>
        </w:tc>
        <w:tc>
          <w:tcPr>
            <w:tcW w:type="dxa" w:w="201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High</w:t>
            </w:r>
          </w:p>
        </w:tc>
      </w:tr>
      <w:tr>
        <w:trPr>
          <w:cantSplit/>
          <w:tblHeader w:val="false"/>
        </w:trPr>
        <w:tc>
          <w:tcPr>
            <w:tcW w:type="dxa" w:w="424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A: direct (score-3 comparables)</w:t>
            </w:r>
          </w:p>
        </w:tc>
        <w:tc>
          <w:tcPr>
            <w:tcW w:type="dxa" w:w="199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$61.36</w:t>
            </w:r>
          </w:p>
        </w:tc>
        <w:tc>
          <w:tcPr>
            <w:tcW w:type="dxa" w:w="183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$68.91</w:t>
            </w:r>
          </w:p>
        </w:tc>
        <w:tc>
          <w:tcPr>
            <w:tcW w:type="dxa" w:w="201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$76.33</w:t>
            </w:r>
          </w:p>
        </w:tc>
      </w:tr>
      <w:tr>
        <w:trPr>
          <w:cantSplit/>
          <w:tblHeader w:val="false"/>
        </w:trPr>
        <w:tc>
          <w:tcPr>
            <w:tcW w:type="dxa" w:w="424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B: weighted</w:t>
            </w:r>
          </w:p>
        </w:tc>
        <w:tc>
          <w:tcPr>
            <w:tcW w:type="dxa" w:w="199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$62.62 (alt.)</w:t>
            </w:r>
          </w:p>
        </w:tc>
        <w:tc>
          <w:tcPr>
            <w:tcW w:type="dxa" w:w="183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$66.24</w:t>
            </w:r>
          </w:p>
        </w:tc>
        <w:tc>
          <w:tcPr>
            <w:tcW w:type="dxa" w:w="201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$68.39 (alt.)</w:t>
            </w:r>
          </w:p>
        </w:tc>
      </w:tr>
      <w:tr>
        <w:trPr>
          <w:cantSplit/>
          <w:tblHeader w:val="false"/>
        </w:trPr>
        <w:tc>
          <w:tcPr>
            <w:tcW w:type="dxa" w:w="424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C: distribution</w:t>
            </w:r>
          </w:p>
        </w:tc>
        <w:tc>
          <w:tcPr>
            <w:tcW w:type="dxa" w:w="199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$55.41</w:t>
            </w:r>
          </w:p>
        </w:tc>
        <w:tc>
          <w:tcPr>
            <w:tcW w:type="dxa" w:w="183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$62.36</w:t>
            </w:r>
          </w:p>
        </w:tc>
        <w:tc>
          <w:tcPr>
            <w:tcW w:type="dxa" w:w="201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$72.68</w:t>
            </w:r>
          </w:p>
        </w:tc>
      </w:tr>
      <w:tr>
        <w:trPr>
          <w:cantSplit/>
          <w:tblHeader w:val="false"/>
        </w:trPr>
        <w:tc>
          <w:tcPr>
            <w:tcW w:type="dxa" w:w="4244"/>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Reconciled ESTIMATE</w:t>
            </w:r>
          </w:p>
        </w:tc>
        <w:tc>
          <w:tcPr>
            <w:tcW w:type="dxa" w:w="199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$60.00</w:t>
            </w:r>
          </w:p>
        </w:tc>
        <w:tc>
          <w:tcPr>
            <w:tcW w:type="dxa" w:w="183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$66.00</w:t>
            </w:r>
          </w:p>
        </w:tc>
        <w:tc>
          <w:tcPr>
            <w:tcW w:type="dxa" w:w="201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$72.00</w:t>
            </w:r>
          </w:p>
        </w:tc>
      </w:tr>
    </w:tbl>
    <w:p>
      <w:pPr>
        <w:spacing w:after="160" w:before="0"/>
      </w:pPr>
    </w:p>
    <w:p>
      <w:pPr>
        <w:keepNext w:val="false"/>
        <w:spacing w:after="140" w:line="276"/>
      </w:pPr>
      <w:r>
        <w:rPr>
          <w:rFonts w:ascii="Arial" w:cs="Arial" w:eastAsia="Arial" w:hAnsi="Arial"/>
          <w:b w:val="false"/>
          <w:bCs w:val="false"/>
        </w:rPr>
        <w:t xml:space="preserve">The </w:t>
      </w:r>
      <w:r>
        <w:rPr>
          <w:rFonts w:ascii="Arial" w:cs="Arial" w:eastAsia="Arial" w:hAnsi="Arial"/>
          <w:b/>
          <w:bCs/>
        </w:rPr>
        <w:t xml:space="preserve">low end of $60</w:t>
      </w:r>
      <w:r>
        <w:rPr>
          <w:rFonts w:ascii="Arial" w:cs="Arial" w:eastAsia="Arial" w:hAnsi="Arial"/>
          <w:b w:val="false"/>
          <w:bCs w:val="false"/>
        </w:rPr>
        <w:t xml:space="preserve"> sits above Method C's 25th percentile ($55.41) because the two indicators below $50 carry the largest normalizations. 2095 is a 4,476 SF off-core white box with an apartment that needs a +23% net adjustment, and 249 Main is an ambiguous 2021 pop-up figure that passes through three conversions. The low end stays just below Method A's lowest direct-evidence value ($61.36) to remain conservative. The </w:t>
      </w:r>
      <w:r>
        <w:rPr>
          <w:rFonts w:ascii="Arial" w:cs="Arial" w:eastAsia="Arial" w:hAnsi="Arial"/>
          <w:b/>
          <w:bCs/>
        </w:rPr>
        <w:t xml:space="preserve">high end of $72</w:t>
      </w:r>
      <w:r>
        <w:rPr>
          <w:rFonts w:ascii="Arial" w:cs="Arial" w:eastAsia="Arial" w:hAnsi="Arial"/>
          <w:b w:val="false"/>
          <w:bCs w:val="false"/>
        </w:rPr>
        <w:t xml:space="preserve"> matches Method C's 75th percentile ($72.68) and sits below the 74A indicator ($76.33), which depends on an ask and on a key-money allocation assumption. The </w:t>
      </w:r>
      <w:r>
        <w:rPr>
          <w:rFonts w:ascii="Arial" w:cs="Arial" w:eastAsia="Arial" w:hAnsi="Arial"/>
          <w:b/>
          <w:bCs/>
        </w:rPr>
        <w:t xml:space="preserve">midpoint of $66</w:t>
      </w:r>
      <w:r>
        <w:rPr>
          <w:rFonts w:ascii="Arial" w:cs="Arial" w:eastAsia="Arial" w:hAnsi="Arial"/>
          <w:b w:val="false"/>
          <w:bCs w:val="false"/>
        </w:rPr>
        <w:t xml:space="preserve"> rounds Method B ($66.24) and lies between Method A's central $68.91 and Method C's median $62.36.</w:t>
      </w:r>
    </w:p>
    <w:p>
      <w:pPr>
        <w:keepNext/>
        <w:spacing w:after="140" w:line="276"/>
      </w:pPr>
      <w:r>
        <w:rPr>
          <w:rFonts w:ascii="Arial" w:cs="Arial" w:eastAsia="Arial" w:hAnsi="Arial"/>
          <w:b/>
          <w:bCs/>
        </w:rPr>
        <w:t xml:space="preserve">Recommended market range (ESTIMATE): $60–$72/SF/year NNN base rent, midpoint $66/SF.</w:t>
      </w:r>
      <w:r>
        <w:rPr>
          <w:rFonts w:ascii="Arial" w:cs="Arial" w:eastAsia="Arial" w:hAnsi="Arial"/>
          <w:b w:val="false"/>
          <w:bCs w:val="false"/>
        </w:rPr>
        <w:t xml:space="preserve"> For 1,100 SF: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429"/>
        <w:gridCol w:w="1353"/>
        <w:gridCol w:w="1320"/>
        <w:gridCol w:w="2561"/>
        <w:gridCol w:w="2157"/>
      </w:tblGrid>
      <w:tr>
        <w:trPr>
          <w:cantSplit/>
          <w:tblHeader/>
        </w:trPr>
        <w:tc>
          <w:tcPr>
            <w:tcW w:type="dxa" w:w="1260"/>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sz w:val="16"/>
                <w:szCs w:val="16"/>
              </w:rPr>
              <w:t xml:space="preserve"/>
            </w:r>
          </w:p>
        </w:tc>
        <w:tc>
          <w:tcPr>
            <w:tcW w:type="dxa" w:w="142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$/SF/yr (NNN)</w:t>
            </w:r>
          </w:p>
        </w:tc>
        <w:tc>
          <w:tcPr>
            <w:tcW w:type="dxa" w:w="135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Annual</w:t>
            </w:r>
          </w:p>
        </w:tc>
        <w:tc>
          <w:tcPr>
            <w:tcW w:type="dxa" w:w="1320"/>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Monthly</w:t>
            </w:r>
          </w:p>
        </w:tc>
        <w:tc>
          <w:tcPr>
            <w:tcW w:type="dxa" w:w="2561"/>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Gross-equivalent $/SF (+$7.00)</w:t>
            </w:r>
          </w:p>
        </w:tc>
        <w:tc>
          <w:tcPr>
            <w:tcW w:type="dxa" w:w="2157"/>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Gross-equiv. monthly</w:t>
            </w:r>
          </w:p>
        </w:tc>
      </w:tr>
      <w:tr>
        <w:trPr>
          <w:cantSplit/>
          <w:tblHeader w:val="false"/>
        </w:trPr>
        <w:tc>
          <w:tcPr>
            <w:tcW w:type="dxa" w:w="126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Low</w:t>
            </w:r>
          </w:p>
        </w:tc>
        <w:tc>
          <w:tcPr>
            <w:tcW w:type="dxa" w:w="142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$60.00</w:t>
            </w:r>
          </w:p>
        </w:tc>
        <w:tc>
          <w:tcPr>
            <w:tcW w:type="dxa" w:w="135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$66,000</w:t>
            </w:r>
          </w:p>
        </w:tc>
        <w:tc>
          <w:tcPr>
            <w:tcW w:type="dxa" w:w="132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$5,500</w:t>
            </w:r>
          </w:p>
        </w:tc>
        <w:tc>
          <w:tcPr>
            <w:tcW w:type="dxa" w:w="256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$67.00</w:t>
            </w:r>
          </w:p>
        </w:tc>
        <w:tc>
          <w:tcPr>
            <w:tcW w:type="dxa" w:w="21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$6,142</w:t>
            </w:r>
          </w:p>
        </w:tc>
      </w:tr>
      <w:tr>
        <w:trPr>
          <w:cantSplit/>
          <w:tblHeader w:val="false"/>
        </w:trPr>
        <w:tc>
          <w:tcPr>
            <w:tcW w:type="dxa" w:w="126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Midpoint</w:t>
            </w:r>
          </w:p>
        </w:tc>
        <w:tc>
          <w:tcPr>
            <w:tcW w:type="dxa" w:w="142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$66.00</w:t>
            </w:r>
          </w:p>
        </w:tc>
        <w:tc>
          <w:tcPr>
            <w:tcW w:type="dxa" w:w="135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$72,600</w:t>
            </w:r>
          </w:p>
        </w:tc>
        <w:tc>
          <w:tcPr>
            <w:tcW w:type="dxa" w:w="132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$6,050</w:t>
            </w:r>
          </w:p>
        </w:tc>
        <w:tc>
          <w:tcPr>
            <w:tcW w:type="dxa" w:w="256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$73.00</w:t>
            </w:r>
          </w:p>
        </w:tc>
        <w:tc>
          <w:tcPr>
            <w:tcW w:type="dxa" w:w="21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$6,692</w:t>
            </w:r>
          </w:p>
        </w:tc>
      </w:tr>
      <w:tr>
        <w:trPr>
          <w:cantSplit/>
          <w:tblHeader w:val="false"/>
        </w:trPr>
        <w:tc>
          <w:tcPr>
            <w:tcW w:type="dxa" w:w="126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High</w:t>
            </w:r>
          </w:p>
        </w:tc>
        <w:tc>
          <w:tcPr>
            <w:tcW w:type="dxa" w:w="142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$72.00</w:t>
            </w:r>
          </w:p>
        </w:tc>
        <w:tc>
          <w:tcPr>
            <w:tcW w:type="dxa" w:w="135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$79,200</w:t>
            </w:r>
          </w:p>
        </w:tc>
        <w:tc>
          <w:tcPr>
            <w:tcW w:type="dxa" w:w="132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$6,600</w:t>
            </w:r>
          </w:p>
        </w:tc>
        <w:tc>
          <w:tcPr>
            <w:tcW w:type="dxa" w:w="256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$79.00</w:t>
            </w:r>
          </w:p>
        </w:tc>
        <w:tc>
          <w:tcPr>
            <w:tcW w:type="dxa" w:w="215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$7,242</w:t>
            </w:r>
          </w:p>
        </w:tc>
      </w:tr>
    </w:tbl>
    <w:p>
      <w:pPr>
        <w:spacing w:after="160" w:before="0"/>
      </w:pPr>
    </w:p>
    <w:p>
      <w:pPr>
        <w:keepNext w:val="false"/>
        <w:spacing w:after="140" w:line="276"/>
      </w:pPr>
      <w:r>
        <w:rPr>
          <w:rFonts w:ascii="Arial" w:cs="Arial" w:eastAsia="Arial" w:hAnsi="Arial"/>
          <w:b w:val="false"/>
          <w:bCs w:val="false"/>
        </w:rPr>
        <w:t xml:space="preserve">Monthly = $/SF × 1,100 ÷ 12 (for example, $66 × 1,100 = $72,600; ÷ 12 = $6,050).</w:t>
      </w:r>
    </w:p>
    <w:p>
      <w:pPr>
        <w:pStyle w:val="Heading1"/>
      </w:pPr>
      <w:bookmarkStart w:name="sec10" w:id="110"/>
      <w:r>
        <w:t xml:space="preserve">Sensitivity Analysis</w:t>
      </w:r>
      <w:bookmarkEnd w:id="110"/>
    </w:p>
    <w:p>
      <w:pPr>
        <w:keepNext/>
        <w:spacing w:after="140" w:line="276"/>
      </w:pPr>
      <w:r>
        <w:rPr>
          <w:rFonts w:ascii="Arial" w:cs="Arial" w:eastAsia="Arial" w:hAnsi="Arial"/>
          <w:b/>
          <w:bCs/>
        </w:rPr>
        <w:t xml:space="preserve">Implied rent for 1,100 SF at alternative market rates (NNN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58"/>
        <w:gridCol w:w="2663"/>
        <w:gridCol w:w="2459"/>
        <w:gridCol w:w="3500"/>
      </w:tblGrid>
      <w:tr>
        <w:trPr>
          <w:cantSplit/>
          <w:tblHeader/>
        </w:trPr>
        <w:tc>
          <w:tcPr>
            <w:tcW w:type="dxa" w:w="1458"/>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$/SF/yr</w:t>
            </w:r>
          </w:p>
        </w:tc>
        <w:tc>
          <w:tcPr>
            <w:tcW w:type="dxa" w:w="266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Annual rent</w:t>
            </w:r>
          </w:p>
        </w:tc>
        <w:tc>
          <w:tcPr>
            <w:tcW w:type="dxa" w:w="245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Monthly rent</w:t>
            </w:r>
          </w:p>
        </w:tc>
        <w:tc>
          <w:tcPr>
            <w:tcW w:type="dxa" w:w="3500"/>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8"/>
                <w:szCs w:val="18"/>
              </w:rPr>
              <w:t xml:space="preserve">Change vs. current $5,000/month</w:t>
            </w:r>
          </w:p>
        </w:tc>
      </w:tr>
      <w:tr>
        <w:trPr>
          <w:cantSplit/>
          <w:tblHeader w:val="false"/>
        </w:trPr>
        <w:tc>
          <w:tcPr>
            <w:tcW w:type="dxa" w:w="145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$50</w:t>
            </w:r>
          </w:p>
        </w:tc>
        <w:tc>
          <w:tcPr>
            <w:tcW w:type="dxa" w:w="26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$55,000</w:t>
            </w:r>
          </w:p>
        </w:tc>
        <w:tc>
          <w:tcPr>
            <w:tcW w:type="dxa" w:w="245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$4,583</w:t>
            </w:r>
          </w:p>
        </w:tc>
        <w:tc>
          <w:tcPr>
            <w:tcW w:type="dxa" w:w="350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−8.3%</w:t>
            </w:r>
          </w:p>
        </w:tc>
      </w:tr>
      <w:tr>
        <w:trPr>
          <w:cantSplit/>
          <w:tblHeader w:val="false"/>
        </w:trPr>
        <w:tc>
          <w:tcPr>
            <w:tcW w:type="dxa" w:w="145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$55</w:t>
            </w:r>
          </w:p>
        </w:tc>
        <w:tc>
          <w:tcPr>
            <w:tcW w:type="dxa" w:w="26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$60,500</w:t>
            </w:r>
          </w:p>
        </w:tc>
        <w:tc>
          <w:tcPr>
            <w:tcW w:type="dxa" w:w="245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$5,042</w:t>
            </w:r>
          </w:p>
        </w:tc>
        <w:tc>
          <w:tcPr>
            <w:tcW w:type="dxa" w:w="350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+0.8%</w:t>
            </w:r>
          </w:p>
        </w:tc>
      </w:tr>
      <w:tr>
        <w:trPr>
          <w:cantSplit/>
          <w:tblHeader w:val="false"/>
        </w:trPr>
        <w:tc>
          <w:tcPr>
            <w:tcW w:type="dxa" w:w="145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$60</w:t>
            </w:r>
          </w:p>
        </w:tc>
        <w:tc>
          <w:tcPr>
            <w:tcW w:type="dxa" w:w="26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$66,000</w:t>
            </w:r>
          </w:p>
        </w:tc>
        <w:tc>
          <w:tcPr>
            <w:tcW w:type="dxa" w:w="245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$5,500</w:t>
            </w:r>
          </w:p>
        </w:tc>
        <w:tc>
          <w:tcPr>
            <w:tcW w:type="dxa" w:w="350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+10.0%</w:t>
            </w:r>
          </w:p>
        </w:tc>
      </w:tr>
      <w:tr>
        <w:trPr>
          <w:cantSplit/>
          <w:tblHeader w:val="false"/>
        </w:trPr>
        <w:tc>
          <w:tcPr>
            <w:tcW w:type="dxa" w:w="145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$65</w:t>
            </w:r>
          </w:p>
        </w:tc>
        <w:tc>
          <w:tcPr>
            <w:tcW w:type="dxa" w:w="26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$71,500</w:t>
            </w:r>
          </w:p>
        </w:tc>
        <w:tc>
          <w:tcPr>
            <w:tcW w:type="dxa" w:w="245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$5,958</w:t>
            </w:r>
          </w:p>
        </w:tc>
        <w:tc>
          <w:tcPr>
            <w:tcW w:type="dxa" w:w="350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+19.2%</w:t>
            </w:r>
          </w:p>
        </w:tc>
      </w:tr>
      <w:tr>
        <w:trPr>
          <w:cantSplit/>
          <w:tblHeader w:val="false"/>
        </w:trPr>
        <w:tc>
          <w:tcPr>
            <w:tcW w:type="dxa" w:w="145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$70</w:t>
            </w:r>
          </w:p>
        </w:tc>
        <w:tc>
          <w:tcPr>
            <w:tcW w:type="dxa" w:w="26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$77,000</w:t>
            </w:r>
          </w:p>
        </w:tc>
        <w:tc>
          <w:tcPr>
            <w:tcW w:type="dxa" w:w="245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$6,417</w:t>
            </w:r>
          </w:p>
        </w:tc>
        <w:tc>
          <w:tcPr>
            <w:tcW w:type="dxa" w:w="350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+28.3%</w:t>
            </w:r>
          </w:p>
        </w:tc>
      </w:tr>
      <w:tr>
        <w:trPr>
          <w:cantSplit/>
          <w:tblHeader w:val="false"/>
        </w:trPr>
        <w:tc>
          <w:tcPr>
            <w:tcW w:type="dxa" w:w="145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$75</w:t>
            </w:r>
          </w:p>
        </w:tc>
        <w:tc>
          <w:tcPr>
            <w:tcW w:type="dxa" w:w="26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$82,500</w:t>
            </w:r>
          </w:p>
        </w:tc>
        <w:tc>
          <w:tcPr>
            <w:tcW w:type="dxa" w:w="245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$6,875</w:t>
            </w:r>
          </w:p>
        </w:tc>
        <w:tc>
          <w:tcPr>
            <w:tcW w:type="dxa" w:w="350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+37.5%</w:t>
            </w:r>
          </w:p>
        </w:tc>
      </w:tr>
      <w:tr>
        <w:trPr>
          <w:cantSplit/>
          <w:tblHeader w:val="false"/>
        </w:trPr>
        <w:tc>
          <w:tcPr>
            <w:tcW w:type="dxa" w:w="145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$80</w:t>
            </w:r>
          </w:p>
        </w:tc>
        <w:tc>
          <w:tcPr>
            <w:tcW w:type="dxa" w:w="26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$88,000</w:t>
            </w:r>
          </w:p>
        </w:tc>
        <w:tc>
          <w:tcPr>
            <w:tcW w:type="dxa" w:w="245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$7,333</w:t>
            </w:r>
          </w:p>
        </w:tc>
        <w:tc>
          <w:tcPr>
            <w:tcW w:type="dxa" w:w="350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+46.7%</w:t>
            </w:r>
          </w:p>
        </w:tc>
      </w:tr>
      <w:tr>
        <w:trPr>
          <w:cantSplit/>
          <w:tblHeader w:val="false"/>
        </w:trPr>
        <w:tc>
          <w:tcPr>
            <w:tcW w:type="dxa" w:w="145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$85</w:t>
            </w:r>
          </w:p>
        </w:tc>
        <w:tc>
          <w:tcPr>
            <w:tcW w:type="dxa" w:w="26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$93,500</w:t>
            </w:r>
          </w:p>
        </w:tc>
        <w:tc>
          <w:tcPr>
            <w:tcW w:type="dxa" w:w="245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$7,792</w:t>
            </w:r>
          </w:p>
        </w:tc>
        <w:tc>
          <w:tcPr>
            <w:tcW w:type="dxa" w:w="350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+55.8%</w:t>
            </w:r>
          </w:p>
        </w:tc>
      </w:tr>
      <w:tr>
        <w:trPr>
          <w:cantSplit/>
          <w:tblHeader w:val="false"/>
        </w:trPr>
        <w:tc>
          <w:tcPr>
            <w:tcW w:type="dxa" w:w="145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$90</w:t>
            </w:r>
          </w:p>
        </w:tc>
        <w:tc>
          <w:tcPr>
            <w:tcW w:type="dxa" w:w="26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$99,000</w:t>
            </w:r>
          </w:p>
        </w:tc>
        <w:tc>
          <w:tcPr>
            <w:tcW w:type="dxa" w:w="245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$8,250</w:t>
            </w:r>
          </w:p>
        </w:tc>
        <w:tc>
          <w:tcPr>
            <w:tcW w:type="dxa" w:w="350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+65.0%</w:t>
            </w:r>
          </w:p>
        </w:tc>
      </w:tr>
      <w:tr>
        <w:trPr>
          <w:cantSplit/>
          <w:tblHeader w:val="false"/>
        </w:trPr>
        <w:tc>
          <w:tcPr>
            <w:tcW w:type="dxa" w:w="1458"/>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8"/>
                <w:szCs w:val="18"/>
              </w:rPr>
              <w:t xml:space="preserve">$100</w:t>
            </w:r>
          </w:p>
        </w:tc>
        <w:tc>
          <w:tcPr>
            <w:tcW w:type="dxa" w:w="26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$110,000</w:t>
            </w:r>
          </w:p>
        </w:tc>
        <w:tc>
          <w:tcPr>
            <w:tcW w:type="dxa" w:w="245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$9,167</w:t>
            </w:r>
          </w:p>
        </w:tc>
        <w:tc>
          <w:tcPr>
            <w:tcW w:type="dxa" w:w="3500"/>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8"/>
                <w:szCs w:val="18"/>
              </w:rPr>
              <w:t xml:space="preserve">+83.3%</w:t>
            </w:r>
          </w:p>
        </w:tc>
      </w:tr>
    </w:tbl>
    <w:p>
      <w:pPr>
        <w:spacing w:after="160" w:before="0"/>
      </w:pPr>
    </w:p>
    <w:p>
      <w:pPr>
        <w:keepNext w:val="false"/>
        <w:spacing w:after="140" w:line="276"/>
      </w:pPr>
      <w:r>
        <w:rPr>
          <w:rFonts w:ascii="Arial" w:cs="Arial" w:eastAsia="Arial" w:hAnsi="Arial"/>
          <w:b w:val="false"/>
          <w:bCs w:val="false"/>
        </w:rPr>
        <w:t xml:space="preserve">The current rent corresponds to about $54.55/SF; it would be at market only if market rent were about $55/SF NNN. That level lies below the reconciled range and is supported only by the two lowest-weighted indicators (2095 Montauk Highway and 249 Main Street).</w:t>
      </w:r>
    </w:p>
    <w:p>
      <w:pPr>
        <w:keepNext/>
        <w:spacing w:after="140" w:line="276"/>
      </w:pPr>
      <w:r>
        <w:rPr>
          <w:rFonts w:ascii="Arial" w:cs="Arial" w:eastAsia="Arial" w:hAnsi="Arial"/>
          <w:b/>
          <w:bCs/>
        </w:rPr>
        <w:t xml:space="preserve">Current rent per SF and gap to market at alternative building areas.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61"/>
        <w:gridCol w:w="1546"/>
        <w:gridCol w:w="2929"/>
        <w:gridCol w:w="1983"/>
        <w:gridCol w:w="1961"/>
      </w:tblGrid>
      <w:tr>
        <w:trPr>
          <w:cantSplit/>
          <w:tblHeader/>
        </w:trPr>
        <w:tc>
          <w:tcPr>
            <w:tcW w:type="dxa" w:w="1661"/>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Building area</w:t>
            </w:r>
          </w:p>
        </w:tc>
        <w:tc>
          <w:tcPr>
            <w:tcW w:type="dxa" w:w="1546"/>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Current $/SF/yr</w:t>
            </w:r>
          </w:p>
        </w:tc>
        <w:tc>
          <w:tcPr>
            <w:tcW w:type="dxa" w:w="292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Market monthly at $60 / $66 / $72</w:t>
            </w:r>
          </w:p>
        </w:tc>
        <w:tc>
          <w:tcPr>
            <w:tcW w:type="dxa" w:w="198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Current vs. market midpoint</w:t>
            </w:r>
          </w:p>
        </w:tc>
        <w:tc>
          <w:tcPr>
            <w:tcW w:type="dxa" w:w="1961"/>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Current vs. market low</w:t>
            </w:r>
          </w:p>
        </w:tc>
      </w:tr>
      <w:tr>
        <w:trPr>
          <w:cantSplit/>
          <w:tblHeader w:val="false"/>
        </w:trPr>
        <w:tc>
          <w:tcPr>
            <w:tcW w:type="dxa" w:w="166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1,000 SF</w:t>
            </w:r>
          </w:p>
        </w:tc>
        <w:tc>
          <w:tcPr>
            <w:tcW w:type="dxa" w:w="154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$60.00</w:t>
            </w:r>
          </w:p>
        </w:tc>
        <w:tc>
          <w:tcPr>
            <w:tcW w:type="dxa" w:w="292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$5,000 / $5,500 / $6,000</w:t>
            </w:r>
          </w:p>
        </w:tc>
        <w:tc>
          <w:tcPr>
            <w:tcW w:type="dxa" w:w="198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−9.1%</w:t>
            </w:r>
          </w:p>
        </w:tc>
        <w:tc>
          <w:tcPr>
            <w:tcW w:type="dxa" w:w="196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0.0% (at market low)</w:t>
            </w:r>
          </w:p>
        </w:tc>
      </w:tr>
      <w:tr>
        <w:trPr>
          <w:cantSplit/>
          <w:tblHeader w:val="false"/>
        </w:trPr>
        <w:tc>
          <w:tcPr>
            <w:tcW w:type="dxa" w:w="166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1,100 SF</w:t>
            </w:r>
          </w:p>
        </w:tc>
        <w:tc>
          <w:tcPr>
            <w:tcW w:type="dxa" w:w="154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$54.55</w:t>
            </w:r>
          </w:p>
        </w:tc>
        <w:tc>
          <w:tcPr>
            <w:tcW w:type="dxa" w:w="292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$5,500 / $6,050 / $6,600</w:t>
            </w:r>
          </w:p>
        </w:tc>
        <w:tc>
          <w:tcPr>
            <w:tcW w:type="dxa" w:w="198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−17.4%</w:t>
            </w:r>
          </w:p>
        </w:tc>
        <w:tc>
          <w:tcPr>
            <w:tcW w:type="dxa" w:w="196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−9.1%</w:t>
            </w:r>
          </w:p>
        </w:tc>
      </w:tr>
      <w:tr>
        <w:trPr>
          <w:cantSplit/>
          <w:tblHeader w:val="false"/>
        </w:trPr>
        <w:tc>
          <w:tcPr>
            <w:tcW w:type="dxa" w:w="166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1,200 SF</w:t>
            </w:r>
          </w:p>
        </w:tc>
        <w:tc>
          <w:tcPr>
            <w:tcW w:type="dxa" w:w="154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$50.00</w:t>
            </w:r>
          </w:p>
        </w:tc>
        <w:tc>
          <w:tcPr>
            <w:tcW w:type="dxa" w:w="292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$6,000 / $6,600 / $7,200</w:t>
            </w:r>
          </w:p>
        </w:tc>
        <w:tc>
          <w:tcPr>
            <w:tcW w:type="dxa" w:w="198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−24.2%</w:t>
            </w:r>
          </w:p>
        </w:tc>
        <w:tc>
          <w:tcPr>
            <w:tcW w:type="dxa" w:w="1961"/>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−16.7%</w:t>
            </w:r>
          </w:p>
        </w:tc>
      </w:tr>
    </w:tbl>
    <w:p>
      <w:pPr>
        <w:spacing w:after="160" w:before="0"/>
      </w:pPr>
    </w:p>
    <w:p>
      <w:pPr>
        <w:keepNext w:val="false"/>
        <w:spacing w:after="140" w:line="276"/>
      </w:pPr>
      <w:r>
        <w:rPr>
          <w:rFonts w:ascii="Arial" w:cs="Arial" w:eastAsia="Arial" w:hAnsi="Arial"/>
          <w:b/>
          <w:bCs/>
        </w:rPr>
        <w:t xml:space="preserve">Area is the single most sensitive unverified input.</w:t>
      </w:r>
      <w:r>
        <w:rPr>
          <w:rFonts w:ascii="Arial" w:cs="Arial" w:eastAsia="Arial" w:hAnsi="Arial"/>
          <w:b w:val="false"/>
          <w:bCs w:val="false"/>
        </w:rPr>
        <w:t xml:space="preserve"> If a measurement showed about 1,000 SF, the current rent would sit at the low end of the market range and the below-market finding would narrow to about 9% against the midpoint (marginally less after the size elasticity raises market $/SF by about 1.4% for a smaller space). At 1,200 SF the gap widens to about 24%. </w:t>
      </w:r>
      <w:r>
        <w:rPr>
          <w:rFonts w:ascii="Arial" w:cs="Arial" w:eastAsia="Arial" w:hAnsi="Arial"/>
          <w:b/>
          <w:bCs/>
        </w:rPr>
        <w:t xml:space="preserve">Lease type is the second.</w:t>
      </w:r>
      <w:r>
        <w:rPr>
          <w:rFonts w:ascii="Arial" w:cs="Arial" w:eastAsia="Arial" w:hAnsi="Arial"/>
          <w:b w:val="false"/>
          <w:bCs w:val="false"/>
        </w:rPr>
        <w:t xml:space="preserve"> If the $5,000 is gross, the subject's $54.55/SF compares with a gross-equivalent midpoint of $73/SF, about 25% below; equivalently, its net-equivalent of about $47.55/SF is about 28% below the $66 NNN midpoint.</w:t>
      </w:r>
    </w:p>
    <w:p>
      <w:pPr>
        <w:pStyle w:val="Heading1"/>
      </w:pPr>
      <w:bookmarkStart w:name="sec11" w:id="111"/>
      <w:r>
        <w:t xml:space="preserve">Tenant Rent vs. Market</w:t>
      </w:r>
      <w:bookmarkEnd w:id="111"/>
    </w:p>
    <w:p>
      <w:pPr>
        <w:keepNext/>
        <w:spacing w:after="140" w:line="276"/>
      </w:pPr>
      <w:r>
        <w:rPr>
          <w:rFonts w:ascii="Arial" w:cs="Arial" w:eastAsia="Arial" w:hAnsi="Arial"/>
          <w:b/>
          <w:bCs/>
        </w:rPr>
        <w:t xml:space="preserve">Finding: BELOW MARKET.</w:t>
      </w:r>
    </w:p>
    <w:p>
      <w:pPr>
        <w:keepNext w:val="false"/>
        <w:spacing w:after="140" w:line="276"/>
      </w:pPr>
      <w:r>
        <w:rPr>
          <w:rFonts w:ascii="Arial" w:cs="Arial" w:eastAsia="Arial" w:hAnsi="Arial"/>
          <w:b/>
          <w:bCs/>
        </w:rPr>
        <w:t xml:space="preserve">Based on the weighted comparable analysis, estimated market rent is $60–$72/SF/year (NNN), implying $5,500–$6,600/month; the existing $5,000/month is approximately 17% below the estimated market midpoint of $6,050/month</w:t>
      </w:r>
      <w:r>
        <w:rPr>
          <w:rFonts w:ascii="Arial" w:cs="Arial" w:eastAsia="Arial" w:hAnsi="Arial"/>
          <w:b w:val="false"/>
          <w:bCs w:val="false"/>
        </w:rPr>
        <w:t xml:space="preserve"> ($54.55 versus $66.00/SF). It is about 9% below the low end of the range and about 24% below the high end. If the lease is gross, the shortfall is about 25% on a gross-equivalent basis.</w:t>
      </w:r>
    </w:p>
    <w:p>
      <w:pPr>
        <w:keepNext w:val="false"/>
        <w:spacing w:after="140" w:line="276"/>
      </w:pPr>
      <w:r>
        <w:rPr>
          <w:rFonts w:ascii="Arial" w:cs="Arial" w:eastAsia="Arial" w:hAnsi="Arial"/>
          <w:b w:val="false"/>
          <w:bCs w:val="false"/>
        </w:rPr>
        <w:t xml:space="preserve">The finding is honest about the evidence base, which is thinner and lower than a reading of Amagansett asking rents alone would suggest. </w:t>
      </w:r>
      <w:r>
        <w:rPr>
          <w:rFonts w:ascii="Arial" w:cs="Arial" w:eastAsia="Arial" w:hAnsi="Arial"/>
          <w:b/>
          <w:bCs/>
        </w:rPr>
        <w:t xml:space="preserve">The most relevant Amagansett restaurant ask is $84.81/SF NNN at 74A Montauk Highway, and it comes with $700,000 of key money</w:t>
      </w:r>
      <w:r>
        <w:rPr>
          <w:rFonts w:ascii="Arial" w:cs="Arial" w:eastAsia="Arial" w:hAnsi="Arial"/>
          <w:b w:val="false"/>
          <w:bCs w:val="false"/>
        </w:rPr>
        <w:t xml:space="preserve"> [28]. Main Street district dry space asks </w:t>
      </w:r>
      <w:r>
        <w:rPr>
          <w:rFonts w:ascii="Arial" w:cs="Arial" w:eastAsia="Arial" w:hAnsi="Arial"/>
          <w:b/>
          <w:bCs/>
        </w:rPr>
        <w:t xml:space="preserve">$65/SF NNN</w:t>
      </w:r>
      <w:r>
        <w:rPr>
          <w:rFonts w:ascii="Arial" w:cs="Arial" w:eastAsia="Arial" w:hAnsi="Arial"/>
          <w:b w:val="false"/>
          <w:bCs w:val="false"/>
        </w:rPr>
        <w:t xml:space="preserve"> [33]. But </w:t>
      </w:r>
      <w:r>
        <w:rPr>
          <w:rFonts w:ascii="Arial" w:cs="Arial" w:eastAsia="Arial" w:hAnsi="Arial"/>
          <w:b/>
          <w:bCs/>
        </w:rPr>
        <w:t xml:space="preserve">the only closed Amagansett food-service lease is about $40/SF base in Napeague</w:t>
      </w:r>
      <w:r>
        <w:rPr>
          <w:rFonts w:ascii="Arial" w:cs="Arial" w:eastAsia="Arial" w:hAnsi="Arial"/>
          <w:b w:val="false"/>
          <w:bCs w:val="false"/>
        </w:rPr>
        <w:t xml:space="preserve"> for a much larger, off-core, white-box space with an apartment [42]. Asking rents of $65–$85/SF in this market have not cleared quickly [28][33], and the subject's tiny kitchen, condition history and lack of on-site parking [18] are genuine market discounts that are already built into the grid. After those adjustments, the defensible range is </w:t>
      </w:r>
      <w:r>
        <w:rPr>
          <w:rFonts w:ascii="Arial" w:cs="Arial" w:eastAsia="Arial" w:hAnsi="Arial"/>
          <w:b/>
          <w:bCs/>
        </w:rPr>
        <w:t xml:space="preserve">$60–$72</w:t>
      </w:r>
      <w:r>
        <w:rPr>
          <w:rFonts w:ascii="Arial" w:cs="Arial" w:eastAsia="Arial" w:hAnsi="Arial"/>
          <w:b w:val="false"/>
          <w:bCs w:val="false"/>
        </w:rPr>
        <w:t xml:space="preserve">, not the $65–$85 that raw asks imply. The direction of the finding is reinforced by independent qualitative evidence: the 2017 key money for this leasehold [15], the "almost triple" Amagansett Square renewal [76], and a tight post-2020 market [100][101].</w:t>
      </w:r>
    </w:p>
    <w:p>
      <w:pPr>
        <w:pStyle w:val="Heading1"/>
      </w:pPr>
      <w:bookmarkStart w:name="sec12" w:id="112"/>
      <w:r>
        <w:t xml:space="preserve">Landlord Negotiation Position</w:t>
      </w:r>
      <w:bookmarkEnd w:id="11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85"/>
        <w:gridCol w:w="2843"/>
        <w:gridCol w:w="1163"/>
        <w:gridCol w:w="1163"/>
        <w:gridCol w:w="1163"/>
        <w:gridCol w:w="1163"/>
      </w:tblGrid>
      <w:tr>
        <w:trPr>
          <w:cantSplit/>
          <w:tblHeader/>
        </w:trPr>
        <w:tc>
          <w:tcPr>
            <w:tcW w:type="dxa" w:w="2585"/>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Position</w:t>
            </w:r>
          </w:p>
        </w:tc>
        <w:tc>
          <w:tcPr>
            <w:tcW w:type="dxa" w:w="284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Basis</w:t>
            </w:r>
          </w:p>
        </w:tc>
        <w:tc>
          <w:tcPr>
            <w:tcW w:type="dxa" w:w="116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$/SF/yr (NNN)</w:t>
            </w:r>
          </w:p>
        </w:tc>
        <w:tc>
          <w:tcPr>
            <w:tcW w:type="dxa" w:w="116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Monthly</w:t>
            </w:r>
          </w:p>
        </w:tc>
        <w:tc>
          <w:tcPr>
            <w:tcW w:type="dxa" w:w="116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Annual</w:t>
            </w:r>
          </w:p>
        </w:tc>
        <w:tc>
          <w:tcPr>
            <w:tcW w:type="dxa" w:w="116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Premium over $5,000</w:t>
            </w:r>
          </w:p>
        </w:tc>
      </w:tr>
      <w:tr>
        <w:trPr>
          <w:cantSplit/>
          <w:tblHeader w:val="false"/>
        </w:trPr>
        <w:tc>
          <w:tcPr>
            <w:tcW w:type="dxa" w:w="25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Conservative</w:t>
            </w:r>
            <w:r>
              <w:rPr>
                <w:rFonts w:ascii="Arial" w:cs="Arial" w:eastAsia="Arial" w:hAnsi="Arial"/>
                <w:b w:val="false"/>
                <w:bCs w:val="false"/>
                <w:sz w:val="16"/>
                <w:szCs w:val="16"/>
              </w:rPr>
              <w:t xml:space="preserve"> (lowest market-supported rent the landlord can credibly defend)</w:t>
            </w:r>
          </w:p>
        </w:tc>
        <w:tc>
          <w:tcPr>
            <w:tcW w:type="dxa" w:w="284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Low end of reconciled range; just below the lowest score-3 comparable ($61.36)</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$60.00</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$5,500</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$66,000</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r>
      <w:tr>
        <w:trPr>
          <w:cantSplit/>
          <w:tblHeader w:val="false"/>
        </w:trPr>
        <w:tc>
          <w:tcPr>
            <w:tcW w:type="dxa" w:w="25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Fair market midpoint</w:t>
            </w:r>
          </w:p>
        </w:tc>
        <w:tc>
          <w:tcPr>
            <w:tcW w:type="dxa" w:w="284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Method B weighted result ($66.24), rounded</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$66.00</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$6,050</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$72,600</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+21%</w:t>
            </w:r>
          </w:p>
        </w:tc>
      </w:tr>
      <w:tr>
        <w:trPr>
          <w:cantSplit/>
          <w:tblHeader w:val="false"/>
        </w:trPr>
        <w:tc>
          <w:tcPr>
            <w:tcW w:type="dxa" w:w="258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Aggressive</w:t>
            </w:r>
            <w:r>
              <w:rPr>
                <w:rFonts w:ascii="Arial" w:cs="Arial" w:eastAsia="Arial" w:hAnsi="Arial"/>
                <w:b w:val="false"/>
                <w:bCs w:val="false"/>
                <w:sz w:val="16"/>
                <w:szCs w:val="16"/>
              </w:rPr>
              <w:t xml:space="preserve"> (strongest comparable evidence)</w:t>
            </w:r>
          </w:p>
        </w:tc>
        <w:tc>
          <w:tcPr>
            <w:tcW w:type="dxa" w:w="284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74A Montauk Hwy adjusted indicator ($76.33), the only Tier 1 food-service comparable</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$76.36</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$7,000</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$84,000</w:t>
            </w:r>
          </w:p>
        </w:tc>
        <w:tc>
          <w:tcPr>
            <w:tcW w:type="dxa" w:w="116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+40%</w:t>
            </w:r>
          </w:p>
        </w:tc>
      </w:tr>
    </w:tbl>
    <w:p>
      <w:pPr>
        <w:spacing w:after="160" w:before="0"/>
      </w:pPr>
    </w:p>
    <w:p>
      <w:pPr>
        <w:keepNext w:val="false"/>
        <w:spacing w:after="140" w:line="276"/>
      </w:pPr>
      <w:r>
        <w:rPr>
          <w:rFonts w:ascii="Arial" w:cs="Arial" w:eastAsia="Arial" w:hAnsi="Arial"/>
          <w:b/>
          <w:bCs/>
        </w:rPr>
        <w:t xml:space="preserve">How far below market the current rent is.</w:t>
      </w:r>
      <w:r>
        <w:rPr>
          <w:rFonts w:ascii="Arial" w:cs="Arial" w:eastAsia="Arial" w:hAnsi="Arial"/>
          <w:b w:val="false"/>
          <w:bCs w:val="false"/>
        </w:rPr>
        <w:t xml:space="preserve"> At 1,100 SF and NNN, the current rent is </w:t>
      </w:r>
      <w:r>
        <w:rPr>
          <w:rFonts w:ascii="Arial" w:cs="Arial" w:eastAsia="Arial" w:hAnsi="Arial"/>
          <w:b/>
          <w:bCs/>
        </w:rPr>
        <w:t xml:space="preserve">$500/month ($6,000/year) below the conservative position</w:t>
      </w:r>
      <w:r>
        <w:rPr>
          <w:rFonts w:ascii="Arial" w:cs="Arial" w:eastAsia="Arial" w:hAnsi="Arial"/>
          <w:b w:val="false"/>
          <w:bCs w:val="false"/>
        </w:rPr>
        <w:t xml:space="preserve">, </w:t>
      </w:r>
      <w:r>
        <w:rPr>
          <w:rFonts w:ascii="Arial" w:cs="Arial" w:eastAsia="Arial" w:hAnsi="Arial"/>
          <w:b/>
          <w:bCs/>
        </w:rPr>
        <w:t xml:space="preserve">$1,050/month ($12,600/year) below the midpoint</w:t>
      </w:r>
      <w:r>
        <w:rPr>
          <w:rFonts w:ascii="Arial" w:cs="Arial" w:eastAsia="Arial" w:hAnsi="Arial"/>
          <w:b w:val="false"/>
          <w:bCs w:val="false"/>
        </w:rPr>
        <w:t xml:space="preserve"> and </w:t>
      </w:r>
      <w:r>
        <w:rPr>
          <w:rFonts w:ascii="Arial" w:cs="Arial" w:eastAsia="Arial" w:hAnsi="Arial"/>
          <w:b/>
          <w:bCs/>
        </w:rPr>
        <w:t xml:space="preserve">$2,000/month ($24,000/year) below the aggressive position</w:t>
      </w:r>
      <w:r>
        <w:rPr>
          <w:rFonts w:ascii="Arial" w:cs="Arial" w:eastAsia="Arial" w:hAnsi="Arial"/>
          <w:b w:val="false"/>
          <w:bCs w:val="false"/>
        </w:rPr>
        <w:t xml:space="preserve">. Over a five-year term, the midpoint gap is about $63,000 before escalations (ESTIMATE).</w:t>
      </w:r>
    </w:p>
    <w:p>
      <w:pPr>
        <w:keepNext w:val="false"/>
        <w:spacing w:after="140" w:line="276"/>
      </w:pPr>
      <w:r>
        <w:rPr>
          <w:rFonts w:ascii="Arial" w:cs="Arial" w:eastAsia="Arial" w:hAnsi="Arial"/>
          <w:b/>
          <w:bCs/>
        </w:rPr>
        <w:t xml:space="preserve">Position on the tenant's request for a reduction.</w:t>
      </w:r>
      <w:r>
        <w:rPr>
          <w:rFonts w:ascii="Arial" w:cs="Arial" w:eastAsia="Arial" w:hAnsi="Arial"/>
          <w:b w:val="false"/>
          <w:bCs w:val="false"/>
        </w:rPr>
        <w:t xml:space="preserve"> The evidence identifies no adverse change in market-rent factors that would support a </w:t>
      </w:r>
      <w:r>
        <w:rPr>
          <w:rFonts w:ascii="Arial" w:cs="Arial" w:eastAsia="Arial" w:hAnsi="Arial"/>
          <w:b/>
          <w:bCs/>
        </w:rPr>
        <w:t xml:space="preserve">permanent</w:t>
      </w:r>
      <w:r>
        <w:rPr>
          <w:rFonts w:ascii="Arial" w:cs="Arial" w:eastAsia="Arial" w:hAnsi="Arial"/>
          <w:b w:val="false"/>
          <w:bCs w:val="false"/>
        </w:rPr>
        <w:t xml:space="preserve"> reduction below $5,000/month, which is already below the reconciled market range. The aggressive position rests on an ask with key money and on a 50% key-money allocation assumption; it is a credible opening only if the landlord is prepared to defend those assumptions. The midpoint is the recommended reset target at renewal or at any re-opening of terms. The conservative figure is the floor that the evidence can defend against a well-advised tenant's broker.</w:t>
      </w:r>
    </w:p>
    <w:p>
      <w:pPr>
        <w:keepNext/>
        <w:spacing w:after="140" w:line="276"/>
      </w:pPr>
      <w:r>
        <w:rPr>
          <w:rFonts w:ascii="Arial" w:cs="Arial" w:eastAsia="Arial" w:hAnsi="Arial"/>
          <w:b/>
          <w:bCs/>
        </w:rPr>
        <w:t xml:space="preserve">Structural alternatives.</w:t>
      </w:r>
    </w:p>
    <w:p>
      <w:pPr>
        <w:pStyle w:val="ListParagraph"/>
        <w:numPr>
          <w:ilvl w:val="0"/>
          <w:numId w:val="3"/>
        </w:numPr>
        <w:spacing w:after="100" w:line="276"/>
      </w:pPr>
      <w:r>
        <w:rPr>
          <w:rFonts w:ascii="Arial" w:cs="Arial" w:eastAsia="Arial" w:hAnsi="Arial"/>
          <w:b/>
          <w:bCs/>
        </w:rPr>
        <w:t xml:space="preserve">Temporary concession, not a permanent reset.</w:t>
      </w:r>
      <w:r>
        <w:rPr>
          <w:rFonts w:ascii="Arial" w:cs="Arial" w:eastAsia="Arial" w:hAnsi="Arial"/>
          <w:b w:val="false"/>
          <w:bCs w:val="false"/>
        </w:rPr>
        <w:t xml:space="preserve"> If the tenant documents hardship, a deferral of part of the rent for a defined period (for example, one off-season), repaid over the following season, preserves the rent level. Relief should be conditioned on delivery of store-level sales and profit-and-loss statements. The 2009 local precedent of "teaser rates, giving a discount for the first two or three years with the stipulation the rent will go up later" shows the market has used front-loaded concessions with built-in step-ups [88].</w:t>
      </w:r>
    </w:p>
    <w:p>
      <w:pPr>
        <w:pStyle w:val="ListParagraph"/>
        <w:numPr>
          <w:ilvl w:val="0"/>
          <w:numId w:val="3"/>
        </w:numPr>
        <w:spacing w:after="100" w:line="276"/>
      </w:pPr>
      <w:r>
        <w:rPr>
          <w:rFonts w:ascii="Arial" w:cs="Arial" w:eastAsia="Arial" w:hAnsi="Arial"/>
          <w:b/>
          <w:bCs/>
        </w:rPr>
        <w:t xml:space="preserve">Permanent reset to market at renewal.</w:t>
      </w:r>
      <w:r>
        <w:rPr>
          <w:rFonts w:ascii="Arial" w:cs="Arial" w:eastAsia="Arial" w:hAnsi="Arial"/>
          <w:b w:val="false"/>
          <w:bCs w:val="false"/>
        </w:rPr>
        <w:t xml:space="preserve"> If the lease is near expiry or has a renewal option, the market range supports resetting to $5,500–$6,600/month, with "annual increases" as the stated Hamptons norm [98]. No Hamptons source specifies an escalation percentage.</w:t>
      </w:r>
    </w:p>
    <w:p>
      <w:pPr>
        <w:pStyle w:val="ListParagraph"/>
        <w:numPr>
          <w:ilvl w:val="0"/>
          <w:numId w:val="3"/>
        </w:numPr>
        <w:spacing w:after="100" w:line="276"/>
      </w:pPr>
      <w:r>
        <w:rPr>
          <w:rFonts w:ascii="Arial" w:cs="Arial" w:eastAsia="Arial" w:hAnsi="Arial"/>
          <w:b/>
          <w:bCs/>
        </w:rPr>
        <w:t xml:space="preserve">Percentage rent.</w:t>
      </w:r>
      <w:r>
        <w:rPr>
          <w:rFonts w:ascii="Arial" w:cs="Arial" w:eastAsia="Arial" w:hAnsi="Arial"/>
          <w:b w:val="false"/>
          <w:bCs w:val="false"/>
        </w:rPr>
        <w:t xml:space="preserve"> Percentage rent is not documented as common for small Hamptons storefronts; key money is the usual mechanism for capturing location value. A public precedent exists: the towns' 2011 Poxabogue restaurant RFP set a fixed rent plus 10% of gross if greater [131]. A structure of $5,000 base plus a percentage of gross sales above a breakpoint would let the landlord share in a strong season without raising fixed rent. It requires audited sales reporting.</w:t>
      </w:r>
    </w:p>
    <w:p>
      <w:pPr>
        <w:pStyle w:val="ListParagraph"/>
        <w:numPr>
          <w:ilvl w:val="0"/>
          <w:numId w:val="3"/>
        </w:numPr>
        <w:spacing w:after="100" w:line="276"/>
      </w:pPr>
      <w:r>
        <w:rPr>
          <w:rFonts w:ascii="Arial" w:cs="Arial" w:eastAsia="Arial" w:hAnsi="Arial"/>
          <w:b/>
          <w:bCs/>
        </w:rPr>
        <w:t xml:space="preserve">Term extension in exchange for stability.</w:t>
      </w:r>
      <w:r>
        <w:rPr>
          <w:rFonts w:ascii="Arial" w:cs="Arial" w:eastAsia="Arial" w:hAnsi="Arial"/>
          <w:b w:val="false"/>
          <w:bCs w:val="false"/>
        </w:rPr>
        <w:t xml:space="preserve"> "Landlords want five years with an option to renew and annual increases" [98]. Granting a longer term at the current rent in exchange for scheduled step-ups to market, a personal or corporate guaranty, and year-round or minimum operating covenants trades rent level for occupancy security. Given the chain's contraction, this may be worth more to the landlord than a higher face rent.</w:t>
      </w:r>
    </w:p>
    <w:p>
      <w:pPr>
        <w:pStyle w:val="ListParagraph"/>
        <w:numPr>
          <w:ilvl w:val="0"/>
          <w:numId w:val="3"/>
        </w:numPr>
        <w:spacing w:after="100" w:line="276"/>
      </w:pPr>
      <w:r>
        <w:rPr>
          <w:rFonts w:ascii="Arial" w:cs="Arial" w:eastAsia="Arial" w:hAnsi="Arial"/>
          <w:b/>
          <w:bCs/>
        </w:rPr>
        <w:t xml:space="preserve">NNN conversion.</w:t>
      </w:r>
      <w:r>
        <w:rPr>
          <w:rFonts w:ascii="Arial" w:cs="Arial" w:eastAsia="Arial" w:hAnsi="Arial"/>
          <w:b w:val="false"/>
          <w:bCs w:val="false"/>
        </w:rPr>
        <w:t xml:space="preserve"> If the current lease is gross, converting to NNN would shift the subject's taxes (about $3,261/year, about $272/month) [3] plus insurance and maintenance to the tenant. That adds about $5–$8.75/SF of value (ESTIMATE) without changing headline base rent. </w:t>
      </w:r>
      <w:r>
        <w:rPr>
          <w:rFonts w:ascii="Arial" w:cs="Arial" w:eastAsia="Arial" w:hAnsi="Arial"/>
          <w:b/>
          <w:bCs/>
        </w:rPr>
        <w:t xml:space="preserve">NNN is the overwhelming quoting convention in 2026 Hamptons storefront and restaurant listings</w:t>
      </w:r>
      <w:r>
        <w:rPr>
          <w:rFonts w:ascii="Arial" w:cs="Arial" w:eastAsia="Arial" w:hAnsi="Arial"/>
          <w:b w:val="false"/>
          <w:bCs w:val="false"/>
        </w:rPr>
        <w:t xml:space="preserve">: about 16 of the readable listings say "+ NNN" and none says "gross" [28][33][50][51][56][57][58][62][63][64][66].</w:t>
      </w:r>
    </w:p>
    <w:p>
      <w:pPr>
        <w:spacing w:after="60" w:before="0"/>
      </w:pPr>
    </w:p>
    <w:p>
      <w:pPr>
        <w:pStyle w:val="Heading1"/>
      </w:pPr>
      <w:bookmarkStart w:name="sec13" w:id="113"/>
      <w:r>
        <w:t xml:space="preserve">Potential Tenant Arguments and Responses</w:t>
      </w:r>
      <w:bookmarkEnd w:id="113"/>
    </w:p>
    <w:p>
      <w:pPr>
        <w:keepNext/>
        <w:spacing w:after="140" w:line="276"/>
      </w:pPr>
      <w:r>
        <w:rPr>
          <w:rFonts w:ascii="Arial" w:cs="Arial" w:eastAsia="Arial" w:hAnsi="Arial"/>
          <w:b/>
          <w:bCs/>
        </w:rPr>
        <w:t xml:space="preserve">Governing definition.</w:t>
      </w:r>
      <w:r>
        <w:rPr>
          <w:rFonts w:ascii="Arial" w:cs="Arial" w:eastAsia="Arial" w:hAnsi="Arial"/>
          <w:b w:val="false"/>
          <w:bCs w:val="false"/>
        </w:rPr>
        <w:t xml:space="preserve"> Market rent is "The most probable rent that a property should bring in a competitive and open market under all conditions requisite to a fair lease transaction, the lessee and lessor each acting prudently and knowledgeably, and assuming the rent is not affected by undue stimulus," with lessee and lessor "typically motivated" and the rent reflecting terms "typically found in that market, such as permitted uses, use restrictions, expense obligations, duration, concessions" [109]. The same Appraisal Institute article distinguishes "use rent" tied to a specific use and says it "is never synonymous with market rent" [109]. The federal banking definition of market value at </w:t>
      </w:r>
      <w:r>
        <w:rPr>
          <w:rFonts w:ascii="Arial" w:cs="Arial" w:eastAsia="Arial" w:hAnsi="Arial"/>
          <w:b/>
          <w:bCs/>
        </w:rPr>
        <w:t xml:space="preserve">12 CFR § 323.2(h)</w:t>
      </w:r>
      <w:r>
        <w:rPr>
          <w:rFonts w:ascii="Arial" w:cs="Arial" w:eastAsia="Arial" w:hAnsi="Arial"/>
          <w:b w:val="false"/>
          <w:bCs w:val="false"/>
        </w:rPr>
        <w:t xml:space="preserve"> uses the same framework: "the most probable price which a property should bring in a competitive and open market under all conditions requisite to a fair sale, the buyer and seller each acting prudently and knowledgeably, and assuming the price is not affected by undue stimulus," with buyer and seller "typically motivated" [110]. Under both definitions, a </w:t>
      </w:r>
      <w:r>
        <w:rPr>
          <w:rFonts w:ascii="Arial" w:cs="Arial" w:eastAsia="Arial" w:hAnsi="Arial"/>
          <w:b/>
          <w:bCs/>
        </w:rPr>
        <w:t xml:space="preserve">MARKET-RENT factor</w:t>
      </w:r>
      <w:r>
        <w:rPr>
          <w:rFonts w:ascii="Arial" w:cs="Arial" w:eastAsia="Arial" w:hAnsi="Arial"/>
          <w:b w:val="false"/>
          <w:bCs w:val="false"/>
        </w:rPr>
        <w:t xml:space="preserve"> affects what any typical tenant would pay for these premises. A </w:t>
      </w:r>
      <w:r>
        <w:rPr>
          <w:rFonts w:ascii="Arial" w:cs="Arial" w:eastAsia="Arial" w:hAnsi="Arial"/>
          <w:b/>
          <w:bCs/>
        </w:rPr>
        <w:t xml:space="preserve">TENANT-ECONOMICS factor</w:t>
      </w:r>
      <w:r>
        <w:rPr>
          <w:rFonts w:ascii="Arial" w:cs="Arial" w:eastAsia="Arial" w:hAnsi="Arial"/>
          <w:b w:val="false"/>
          <w:bCs w:val="false"/>
        </w:rPr>
        <w:t xml:space="preserve"> is specific to this operator's results and does not change market 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9"/>
        <w:gridCol w:w="1475"/>
        <w:gridCol w:w="3073"/>
        <w:gridCol w:w="1967"/>
        <w:gridCol w:w="3196"/>
      </w:tblGrid>
      <w:tr>
        <w:trPr>
          <w:cantSplit/>
          <w:tblHeader/>
        </w:trPr>
        <w:tc>
          <w:tcPr>
            <w:tcW w:type="dxa" w:w="369"/>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w:t>
            </w:r>
          </w:p>
        </w:tc>
        <w:tc>
          <w:tcPr>
            <w:tcW w:type="dxa" w:w="1475"/>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Tenant argument</w:t>
            </w:r>
          </w:p>
        </w:tc>
        <w:tc>
          <w:tcPr>
            <w:tcW w:type="dxa" w:w="3073"/>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What the evidence shows</w:t>
            </w:r>
          </w:p>
        </w:tc>
        <w:tc>
          <w:tcPr>
            <w:tcW w:type="dxa" w:w="1967"/>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Factor type</w:t>
            </w:r>
          </w:p>
        </w:tc>
        <w:tc>
          <w:tcPr>
            <w:tcW w:type="dxa" w:w="3196"/>
            <w:tcBorders>
              <w:top w:val="single" w:color="A6ACB5" w:sz="4"/>
              <w:left w:val="single" w:color="A6ACB5" w:sz="4"/>
              <w:bottom w:val="single" w:color="A6ACB5" w:sz="4"/>
              <w:right w:val="single" w:color="A6ACB5" w:sz="4"/>
            </w:tcBorders>
            <w:shd w:fill="E7E9ED" w:color="auto" w:val="clear"/>
            <w:tcMar>
              <w:top w:type="dxa" w:w="20"/>
              <w:left w:type="dxa" w:w="80"/>
              <w:bottom w:type="dxa" w:w="20"/>
              <w:right w:type="dxa" w:w="80"/>
            </w:tcMar>
            <w:vAlign w:val="bottom"/>
          </w:tcPr>
          <w:p>
            <w:pPr>
              <w:spacing w:after="0" w:before="0" w:line="240"/>
            </w:pPr>
            <w:r>
              <w:rPr>
                <w:rFonts w:ascii="Arial" w:cs="Arial" w:eastAsia="Arial" w:hAnsi="Arial"/>
                <w:b/>
                <w:bCs/>
                <w:sz w:val="16"/>
                <w:szCs w:val="16"/>
              </w:rPr>
              <w:t xml:space="preserve">Landlord response</w:t>
            </w:r>
          </w:p>
        </w:tc>
      </w:tr>
      <w:tr>
        <w:trPr>
          <w:cantSplit/>
          <w:tblHeader w:val="false"/>
        </w:trPr>
        <w:tc>
          <w:tcPr>
            <w:tcW w:type="dxa" w:w="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w:t>
            </w:r>
          </w:p>
        </w:tc>
        <w:tc>
          <w:tcPr>
            <w:tcW w:type="dxa" w:w="147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"Our business is struggling."</w:t>
            </w:r>
          </w:p>
        </w:tc>
        <w:tc>
          <w:tcPr>
            <w:tcW w:type="dxa" w:w="307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The chain contracted: Short Pump, VA closed in 2023 [26]; the University of Richmond unit in 2024 [27]; Stony Brook and New Hyde Park are listed closed [129][130]. Five stores remain [21]. No bankruptcy found</w:t>
            </w:r>
          </w:p>
        </w:tc>
        <w:tc>
          <w:tcPr>
            <w:tcW w:type="dxa" w:w="196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TENANT-ECONOMICS</w:t>
            </w:r>
          </w:p>
        </w:tc>
        <w:tc>
          <w:tcPr>
            <w:tcW w:type="dxa" w:w="319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Market rent is what a "typically motivated" tenant would pay [109]. The same space drew "several serious inquiries" in a day and $575,000–$625,000 key-money asks [10][13]. Request sales and profit-and-loss data before considering any temporary, repayable deferral</w:t>
            </w:r>
          </w:p>
        </w:tc>
      </w:tr>
      <w:tr>
        <w:trPr>
          <w:cantSplit/>
          <w:tblHeader w:val="false"/>
        </w:trPr>
        <w:tc>
          <w:tcPr>
            <w:tcW w:type="dxa" w:w="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2</w:t>
            </w:r>
          </w:p>
        </w:tc>
        <w:tc>
          <w:tcPr>
            <w:tcW w:type="dxa" w:w="147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"Revenue is seasonal."</w:t>
            </w:r>
          </w:p>
        </w:tc>
        <w:tc>
          <w:tcPr>
            <w:tcW w:type="dxa" w:w="307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The store closed December–March as early as 2019 [121]; "Closed for the winter" in 2023 [24]; Coche Comedor cited seasonal difficulty [78]</w:t>
            </w:r>
          </w:p>
        </w:tc>
        <w:tc>
          <w:tcPr>
            <w:tcW w:type="dxa" w:w="196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MARKET (hamlet seasonality), already embedded in comparables and in the 2017 key-money price; the Fri–Mon schedule is TENANT-ECONOMICS</w:t>
            </w:r>
          </w:p>
        </w:tc>
        <w:tc>
          <w:tcPr>
            <w:tcW w:type="dxa" w:w="319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Seasonality is long-standing and was known when the leasehold was bought. Comparable rents already reflect it, and East End vacancy has been low since COVID [100]</w:t>
            </w:r>
          </w:p>
        </w:tc>
      </w:tr>
      <w:tr>
        <w:trPr>
          <w:cantSplit/>
          <w:tblHeader w:val="false"/>
        </w:trPr>
        <w:tc>
          <w:tcPr>
            <w:tcW w:type="dxa" w:w="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3</w:t>
            </w:r>
          </w:p>
        </w:tc>
        <w:tc>
          <w:tcPr>
            <w:tcW w:type="dxa" w:w="147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"Construction disrupted us."</w:t>
            </w:r>
          </w:p>
        </w:tc>
        <w:tc>
          <w:tcPr>
            <w:tcW w:type="dxa" w:w="307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The 2026 brick-sidewalk work was on the </w:t>
            </w:r>
            <w:r>
              <w:rPr>
                <w:rFonts w:ascii="Arial" w:cs="Arial" w:eastAsia="Arial" w:hAnsi="Arial"/>
                <w:b/>
                <w:bCs/>
                <w:sz w:val="16"/>
                <w:szCs w:val="16"/>
              </w:rPr>
              <w:t xml:space="preserve">south</w:t>
            </w:r>
            <w:r>
              <w:rPr>
                <w:rFonts w:ascii="Arial" w:cs="Arial" w:eastAsia="Arial" w:hAnsi="Arial"/>
                <w:b w:val="false"/>
                <w:bCs w:val="false"/>
                <w:sz w:val="16"/>
                <w:szCs w:val="16"/>
              </w:rPr>
              <w:t xml:space="preserve"> side, Hedges Lane to Amagansett Square's west entrance, targeted for May 1–15, 2026 [105][104]. The subject appears to be on the north side (adjacent to 203 Main, which 27east places on the north side) [104]. Street lighting is still in engineering [120]</w:t>
            </w:r>
          </w:p>
        </w:tc>
        <w:tc>
          <w:tcPr>
            <w:tcW w:type="dxa" w:w="196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At most a temporary abatement question under the lease; the finished work is a MARKET positive</w:t>
            </w:r>
          </w:p>
        </w:tc>
        <w:tc>
          <w:tcPr>
            <w:tcW w:type="dxa" w:w="319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Ask for dated evidence of obstruction at the subject's frontage. Any accommodation should be a one-time credit for proven days, not a base-rent cut. The Town justified the work by "increasing foot traffic" [104]</w:t>
            </w:r>
          </w:p>
        </w:tc>
      </w:tr>
      <w:tr>
        <w:trPr>
          <w:cantSplit/>
          <w:tblHeader w:val="false"/>
        </w:trPr>
        <w:tc>
          <w:tcPr>
            <w:tcW w:type="dxa" w:w="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4</w:t>
            </w:r>
          </w:p>
        </w:tc>
        <w:tc>
          <w:tcPr>
            <w:tcW w:type="dxa" w:w="147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"Labor and food costs are up."</w:t>
            </w:r>
          </w:p>
        </w:tc>
        <w:tc>
          <w:tcPr>
            <w:tcW w:type="dxa" w:w="307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Long Island minimum wage $17.00 in 2026 [106][107]; </w:t>
            </w:r>
            <w:r>
              <w:rPr>
                <w:rFonts w:ascii="Arial" w:cs="Arial" w:eastAsia="Arial" w:hAnsi="Arial"/>
                <w:b/>
                <w:bCs/>
                <w:sz w:val="16"/>
                <w:szCs w:val="16"/>
              </w:rPr>
              <w:t xml:space="preserve">frozen for 2027</w:t>
            </w:r>
            <w:r>
              <w:rPr>
                <w:rFonts w:ascii="Arial" w:cs="Arial" w:eastAsia="Arial" w:hAnsi="Arial"/>
                <w:b w:val="false"/>
                <w:bCs w:val="false"/>
                <w:sz w:val="16"/>
                <w:szCs w:val="16"/>
              </w:rPr>
              <w:t xml:space="preserve"> [106]; more than 90% of operators cite cost pressures [108]</w:t>
            </w:r>
          </w:p>
        </w:tc>
        <w:tc>
          <w:tcPr>
            <w:tcW w:type="dxa" w:w="196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Industry-wide TENANT-ECONOMICS</w:t>
            </w:r>
          </w:p>
        </w:tc>
        <w:tc>
          <w:tcPr>
            <w:tcW w:type="dxa" w:w="319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Every competing operator bears these costs; they reach market rent only through comparable rents. New entrants chose Amagansett despite them [86][115]</w:t>
            </w:r>
          </w:p>
        </w:tc>
      </w:tr>
      <w:tr>
        <w:trPr>
          <w:cantSplit/>
          <w:tblHeader w:val="false"/>
        </w:trPr>
        <w:tc>
          <w:tcPr>
            <w:tcW w:type="dxa" w:w="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5</w:t>
            </w:r>
          </w:p>
        </w:tc>
        <w:tc>
          <w:tcPr>
            <w:tcW w:type="dxa" w:w="147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"Foot traffic is down."</w:t>
            </w:r>
          </w:p>
        </w:tc>
        <w:tc>
          <w:tcPr>
            <w:tcW w:type="dxa" w:w="307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Officials cite "increasing foot traffic" [104]; a west-end "business boom" in 2026 [86]; Suffolk sales tax +9.2% in H1 2026 [103]. No pedestrian counts exist; national restaurant traffic was weak in 2025 [108]</w:t>
            </w:r>
          </w:p>
        </w:tc>
        <w:tc>
          <w:tcPr>
            <w:tcW w:type="dxa" w:w="196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MARKET factor, but local evidence runs against the tenant</w:t>
            </w:r>
          </w:p>
        </w:tc>
        <w:tc>
          <w:tcPr>
            <w:tcW w:type="dxa" w:w="319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Ask for the tenant's transaction counts. A decline that coincides with Fri–Mon hours and new café competition points to operator factors</w:t>
            </w:r>
          </w:p>
        </w:tc>
      </w:tr>
      <w:tr>
        <w:trPr>
          <w:cantSplit/>
          <w:tblHeader w:val="false"/>
        </w:trPr>
        <w:tc>
          <w:tcPr>
            <w:tcW w:type="dxa" w:w="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6</w:t>
            </w:r>
          </w:p>
        </w:tc>
        <w:tc>
          <w:tcPr>
            <w:tcW w:type="dxa" w:w="147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"The building is in poor condition."</w:t>
            </w:r>
          </w:p>
        </w:tc>
        <w:tc>
          <w:tcPr>
            <w:tcW w:type="dxa" w:w="307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 public evidence of current condition; a history of repairs in 2002–2017 [18]; cosmetic refresh in 2020 [20]</w:t>
            </w:r>
          </w:p>
        </w:tc>
        <w:tc>
          <w:tcPr>
            <w:tcW w:type="dxa" w:w="196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MARKET factor </w:t>
            </w:r>
            <w:r>
              <w:rPr>
                <w:rFonts w:ascii="Arial" w:cs="Arial" w:eastAsia="Arial" w:hAnsi="Arial"/>
                <w:b/>
                <w:bCs/>
                <w:sz w:val="16"/>
                <w:szCs w:val="16"/>
              </w:rPr>
              <w:t xml:space="preserve">only</w:t>
            </w:r>
            <w:r>
              <w:rPr>
                <w:rFonts w:ascii="Arial" w:cs="Arial" w:eastAsia="Arial" w:hAnsi="Arial"/>
                <w:b w:val="false"/>
                <w:bCs w:val="false"/>
                <w:sz w:val="16"/>
                <w:szCs w:val="16"/>
              </w:rPr>
              <w:t xml:space="preserve"> if below comparable premises and a landlord obligation</w:t>
            </w:r>
          </w:p>
        </w:tc>
        <w:tc>
          <w:tcPr>
            <w:tcW w:type="dxa" w:w="319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Partly valid and already priced:</w:t>
            </w:r>
            <w:r>
              <w:rPr>
                <w:rFonts w:ascii="Arial" w:cs="Arial" w:eastAsia="Arial" w:hAnsi="Arial"/>
                <w:b w:val="false"/>
                <w:bCs w:val="false"/>
                <w:sz w:val="16"/>
                <w:szCs w:val="16"/>
              </w:rPr>
              <w:t xml:space="preserve"> the grid applies −5% against renovated comparables. Check the lease's repair allocation and inspect. Fix landlord items directly rather than cutting rent permanently</w:t>
            </w:r>
          </w:p>
        </w:tc>
      </w:tr>
      <w:tr>
        <w:trPr>
          <w:cantSplit/>
          <w:tblHeader w:val="false"/>
        </w:trPr>
        <w:tc>
          <w:tcPr>
            <w:tcW w:type="dxa" w:w="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7</w:t>
            </w:r>
          </w:p>
        </w:tc>
        <w:tc>
          <w:tcPr>
            <w:tcW w:type="dxa" w:w="147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"The space is small."</w:t>
            </w:r>
          </w:p>
        </w:tc>
        <w:tc>
          <w:tcPr>
            <w:tcW w:type="dxa" w:w="307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About 1,100 SF, disclosed in 2016 [9]; the patio extends seasonal seating [9]</w:t>
            </w:r>
          </w:p>
        </w:tc>
        <w:tc>
          <w:tcPr>
            <w:tcW w:type="dxa" w:w="196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MARKET attribute handled in per-SF analysis</w:t>
            </w:r>
          </w:p>
        </w:tc>
        <w:tc>
          <w:tcPr>
            <w:tcW w:type="dxa" w:w="319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Small spaces command </w:t>
            </w:r>
            <w:r>
              <w:rPr>
                <w:rFonts w:ascii="Arial" w:cs="Arial" w:eastAsia="Arial" w:hAnsi="Arial"/>
                <w:b/>
                <w:bCs/>
                <w:sz w:val="16"/>
                <w:szCs w:val="16"/>
              </w:rPr>
              <w:t xml:space="preserve">higher</w:t>
            </w:r>
            <w:r>
              <w:rPr>
                <w:rFonts w:ascii="Arial" w:cs="Arial" w:eastAsia="Arial" w:hAnsi="Arial"/>
                <w:b w:val="false"/>
                <w:bCs w:val="false"/>
                <w:sz w:val="16"/>
                <w:szCs w:val="16"/>
              </w:rPr>
              <w:t xml:space="preserve"> rent per SF [87]. Size was fixed and known when the tenant bought the leasehold. The size adjustment already favors the tenant's position relative to trophy small-unit rents</w:t>
            </w:r>
          </w:p>
        </w:tc>
      </w:tr>
      <w:tr>
        <w:trPr>
          <w:cantSplit/>
          <w:tblHeader w:val="false"/>
        </w:trPr>
        <w:tc>
          <w:tcPr>
            <w:tcW w:type="dxa" w:w="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8</w:t>
            </w:r>
          </w:p>
        </w:tc>
        <w:tc>
          <w:tcPr>
            <w:tcW w:type="dxa" w:w="147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"Parking is limited."</w:t>
            </w:r>
          </w:p>
        </w:tc>
        <w:tc>
          <w:tcPr>
            <w:tcW w:type="dxa" w:w="307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No on-site parking; the 2020 Town plan called for about 185 spaces in the adjoining lot [25]; more parking is planned on the Field property [114]</w:t>
            </w:r>
          </w:p>
        </w:tc>
        <w:tc>
          <w:tcPr>
            <w:tcW w:type="dxa" w:w="196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MARKET attribute</w:t>
            </w:r>
          </w:p>
        </w:tc>
        <w:tc>
          <w:tcPr>
            <w:tcW w:type="dxa" w:w="319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bCs/>
                <w:sz w:val="16"/>
                <w:szCs w:val="16"/>
              </w:rPr>
              <w:t xml:space="preserve">Partly valid and already priced</w:t>
            </w:r>
            <w:r>
              <w:rPr>
                <w:rFonts w:ascii="Arial" w:cs="Arial" w:eastAsia="Arial" w:hAnsi="Arial"/>
                <w:b w:val="false"/>
                <w:bCs w:val="false"/>
                <w:sz w:val="16"/>
                <w:szCs w:val="16"/>
              </w:rPr>
              <w:t xml:space="preserve"> (−5% to −10% against comparables with on-site parking). Public parking capacity was planned to grow after the tenant's 2017 entry (completion not verified), and a take-out café is among the least parking-dependent uses</w:t>
            </w:r>
          </w:p>
        </w:tc>
      </w:tr>
      <w:tr>
        <w:trPr>
          <w:cantSplit/>
          <w:tblHeader w:val="false"/>
        </w:trPr>
        <w:tc>
          <w:tcPr>
            <w:tcW w:type="dxa" w:w="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9</w:t>
            </w:r>
          </w:p>
        </w:tc>
        <w:tc>
          <w:tcPr>
            <w:tcW w:type="dxa" w:w="147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"There is more competition."</w:t>
            </w:r>
          </w:p>
        </w:tc>
        <w:tc>
          <w:tcPr>
            <w:tcW w:type="dxa" w:w="307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New entrants: Doubles (2022) [24], Rowdy Hall (2023) [83], Meeting House [119], Sett Coffee and Jamagansett (2026) [86], Amagansett Coffee Co. (2026) [115]</w:t>
            </w:r>
          </w:p>
        </w:tc>
        <w:tc>
          <w:tcPr>
            <w:tcW w:type="dxa" w:w="196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Mainly TENANT-ECONOMICS (concept positioning); entry also signals MARKET demand</w:t>
            </w:r>
          </w:p>
        </w:tc>
        <w:tc>
          <w:tcPr>
            <w:tcW w:type="dxa" w:w="319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New capital entering the hamlet shows operators value Amagansett food locations. Loss of share to rivals is not a property defect</w:t>
            </w:r>
          </w:p>
        </w:tc>
      </w:tr>
      <w:tr>
        <w:trPr>
          <w:cantSplit/>
          <w:tblHeader w:val="false"/>
        </w:trPr>
        <w:tc>
          <w:tcPr>
            <w:tcW w:type="dxa" w:w="369"/>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10</w:t>
            </w:r>
          </w:p>
        </w:tc>
        <w:tc>
          <w:tcPr>
            <w:tcW w:type="dxa" w:w="1475"/>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"General economic conditions are weak."</w:t>
            </w:r>
          </w:p>
        </w:tc>
        <w:tc>
          <w:tcPr>
            <w:tcW w:type="dxa" w:w="3073"/>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Suffolk sales tax +9.2%, Long Island +7.1% (H1 2026) [103]; Hamptons median price +18%, record $39M retail sale (2026) [102]; limited supply [101]. Caveats: growth partly inflation and "may not last" [103]; national restaurant traffic weak [108]</w:t>
            </w:r>
          </w:p>
        </w:tc>
        <w:tc>
          <w:tcPr>
            <w:tcW w:type="dxa" w:w="1967"/>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MARKET factor; current evidence supports holding rent</w:t>
            </w:r>
          </w:p>
        </w:tc>
        <w:tc>
          <w:tcPr>
            <w:tcW w:type="dxa" w:w="3196"/>
            <w:tcBorders>
              <w:top w:val="single" w:color="A6ACB5" w:sz="4"/>
              <w:left w:val="single" w:color="A6ACB5" w:sz="4"/>
              <w:bottom w:val="single" w:color="A6ACB5" w:sz="4"/>
              <w:right w:val="single" w:color="A6ACB5" w:sz="4"/>
            </w:tcBorders>
            <w:tcMar>
              <w:top w:type="dxa" w:w="20"/>
              <w:left w:type="dxa" w:w="80"/>
              <w:bottom w:type="dxa" w:w="20"/>
              <w:right w:type="dxa" w:w="80"/>
            </w:tcMar>
            <w:vAlign w:val="top"/>
          </w:tcPr>
          <w:p>
            <w:pPr>
              <w:spacing w:after="0" w:before="0" w:line="240"/>
            </w:pPr>
            <w:r>
              <w:rPr>
                <w:rFonts w:ascii="Arial" w:cs="Arial" w:eastAsia="Arial" w:hAnsi="Arial"/>
                <w:b w:val="false"/>
                <w:bCs w:val="false"/>
                <w:sz w:val="16"/>
                <w:szCs w:val="16"/>
              </w:rPr>
              <w:t xml:space="preserve">The tenant's affluent seasonal customer base is strong by every primary indicator found. Softness is national and skewed toward lower incomes [108]</w:t>
            </w:r>
          </w:p>
        </w:tc>
      </w:tr>
    </w:tbl>
    <w:p>
      <w:pPr>
        <w:spacing w:after="160" w:before="0"/>
      </w:pPr>
    </w:p>
    <w:p>
      <w:pPr>
        <w:keepNext w:val="false"/>
        <w:spacing w:after="140" w:line="276"/>
      </w:pPr>
      <w:r>
        <w:rPr>
          <w:rFonts w:ascii="Arial" w:cs="Arial" w:eastAsia="Arial" w:hAnsi="Arial"/>
          <w:b/>
          <w:bCs/>
        </w:rPr>
        <w:t xml:space="preserve">Market factors that genuinely justify a discount, quantified.</w:t>
      </w:r>
      <w:r>
        <w:rPr>
          <w:rFonts w:ascii="Arial" w:cs="Arial" w:eastAsia="Arial" w:hAnsi="Arial"/>
          <w:b w:val="false"/>
          <w:bCs w:val="false"/>
        </w:rPr>
        <w:t xml:space="preserve"> Five subject attributes are real market discounts. They are why the reconciled midpoint ($66) sits about 22% below the 74A ask ($84.81) rather than at it. Against the Tier 1 restaurant comparable, the grid applies: </w:t>
      </w:r>
      <w:r>
        <w:rPr>
          <w:rFonts w:ascii="Arial" w:cs="Arial" w:eastAsia="Arial" w:hAnsi="Arial"/>
          <w:b/>
          <w:bCs/>
        </w:rPr>
        <w:t xml:space="preserve">parking −10%</w:t>
      </w:r>
      <w:r>
        <w:rPr>
          <w:rFonts w:ascii="Arial" w:cs="Arial" w:eastAsia="Arial" w:hAnsi="Arial"/>
          <w:b w:val="false"/>
          <w:bCs w:val="false"/>
        </w:rPr>
        <w:t xml:space="preserve"> (no on-site spaces), </w:t>
      </w:r>
      <w:r>
        <w:rPr>
          <w:rFonts w:ascii="Arial" w:cs="Arial" w:eastAsia="Arial" w:hAnsi="Arial"/>
          <w:b/>
          <w:bCs/>
        </w:rPr>
        <w:t xml:space="preserve">kitchen −10%</w:t>
      </w:r>
      <w:r>
        <w:rPr>
          <w:rFonts w:ascii="Arial" w:cs="Arial" w:eastAsia="Arial" w:hAnsi="Arial"/>
          <w:b w:val="false"/>
          <w:bCs w:val="false"/>
        </w:rPr>
        <w:t xml:space="preserve"> (a kitchen "not much bigger than a bathroom" [18]), </w:t>
      </w:r>
      <w:r>
        <w:rPr>
          <w:rFonts w:ascii="Arial" w:cs="Arial" w:eastAsia="Arial" w:hAnsi="Arial"/>
          <w:b/>
          <w:bCs/>
        </w:rPr>
        <w:t xml:space="preserve">condition −5%</w:t>
      </w:r>
      <w:r>
        <w:rPr>
          <w:rFonts w:ascii="Arial" w:cs="Arial" w:eastAsia="Arial" w:hAnsi="Arial"/>
          <w:b w:val="false"/>
          <w:bCs w:val="false"/>
        </w:rPr>
        <w:t xml:space="preserve"> (repair history; current condition Unknown), </w:t>
      </w:r>
      <w:r>
        <w:rPr>
          <w:rFonts w:ascii="Arial" w:cs="Arial" w:eastAsia="Arial" w:hAnsi="Arial"/>
          <w:b/>
          <w:bCs/>
        </w:rPr>
        <w:t xml:space="preserve">patio −5%</w:t>
      </w:r>
      <w:r>
        <w:rPr>
          <w:rFonts w:ascii="Arial" w:cs="Arial" w:eastAsia="Arial" w:hAnsi="Arial"/>
          <w:b w:val="false"/>
          <w:bCs w:val="false"/>
        </w:rPr>
        <w:t xml:space="preserve"> and </w:t>
      </w:r>
      <w:r>
        <w:rPr>
          <w:rFonts w:ascii="Arial" w:cs="Arial" w:eastAsia="Arial" w:hAnsi="Arial"/>
          <w:b/>
          <w:bCs/>
        </w:rPr>
        <w:t xml:space="preserve">storage −5%</w:t>
      </w:r>
      <w:r>
        <w:rPr>
          <w:rFonts w:ascii="Arial" w:cs="Arial" w:eastAsia="Arial" w:hAnsi="Arial"/>
          <w:b w:val="false"/>
          <w:bCs w:val="false"/>
        </w:rPr>
        <w:t xml:space="preserve">, a total of </w:t>
      </w:r>
      <w:r>
        <w:rPr>
          <w:rFonts w:ascii="Arial" w:cs="Arial" w:eastAsia="Arial" w:hAnsi="Arial"/>
          <w:b/>
          <w:bCs/>
        </w:rPr>
        <w:t xml:space="preserve">−35 percentage points</w:t>
      </w:r>
      <w:r>
        <w:rPr>
          <w:rFonts w:ascii="Arial" w:cs="Arial" w:eastAsia="Arial" w:hAnsi="Arial"/>
          <w:b w:val="false"/>
          <w:bCs w:val="false"/>
        </w:rPr>
        <w:t xml:space="preserve">, partly offset by the subject's smaller size and pedestrian position. Two further factors are noted but not separately charged. The </w:t>
      </w:r>
      <w:r>
        <w:rPr>
          <w:rFonts w:ascii="Arial" w:cs="Arial" w:eastAsia="Arial" w:hAnsi="Arial"/>
          <w:b/>
          <w:bCs/>
        </w:rPr>
        <w:t xml:space="preserve">undersized, nonconforming lot</w:t>
      </w:r>
      <w:r>
        <w:rPr>
          <w:rFonts w:ascii="Arial" w:cs="Arial" w:eastAsia="Arial" w:hAnsi="Arial"/>
          <w:b w:val="false"/>
          <w:bCs w:val="false"/>
        </w:rPr>
        <w:t xml:space="preserve"> (about 2,178 SF against a 3,000 SF minimum, at the 50% coverage cap [6]) prevents expansion, which would matter mainly to a tenant seeking more seats; it is embedded in the size and kitchen adjustments, and a further 0–3% is defensible if a tenant's broker presses it. </w:t>
      </w:r>
      <w:r>
        <w:rPr>
          <w:rFonts w:ascii="Arial" w:cs="Arial" w:eastAsia="Arial" w:hAnsi="Arial"/>
          <w:b/>
          <w:bCs/>
        </w:rPr>
        <w:t xml:space="preserve">Chain contraction</w:t>
      </w:r>
      <w:r>
        <w:rPr>
          <w:rFonts w:ascii="Arial" w:cs="Arial" w:eastAsia="Arial" w:hAnsi="Arial"/>
          <w:b w:val="false"/>
          <w:bCs w:val="false"/>
        </w:rPr>
        <w:t xml:space="preserve"> affects the landlord's credit risk, not market rent, but it is a legitimate reason for the landlord to prefer the conservative position ($5,500) with a guaranty over the aggressive one. The tenant's </w:t>
      </w:r>
      <w:r>
        <w:rPr>
          <w:rFonts w:ascii="Arial" w:cs="Arial" w:eastAsia="Arial" w:hAnsi="Arial"/>
          <w:b/>
          <w:bCs/>
        </w:rPr>
        <w:t xml:space="preserve">Fri–Mon operating schedule</w:t>
      </w:r>
      <w:r>
        <w:rPr>
          <w:rFonts w:ascii="Arial" w:cs="Arial" w:eastAsia="Arial" w:hAnsi="Arial"/>
          <w:b w:val="false"/>
          <w:bCs w:val="false"/>
        </w:rPr>
        <w:t xml:space="preserve"> is an operator choice and does not reduce market rent.</w:t>
      </w:r>
    </w:p>
    <w:p>
      <w:pPr>
        <w:pStyle w:val="Heading1"/>
      </w:pPr>
      <w:bookmarkStart w:name="sec14" w:id="114"/>
      <w:r>
        <w:t xml:space="preserve">Conclusion</w:t>
      </w:r>
      <w:bookmarkEnd w:id="114"/>
    </w:p>
    <w:p>
      <w:pPr>
        <w:keepNext w:val="false"/>
        <w:spacing w:after="140" w:line="276"/>
      </w:pPr>
      <w:r>
        <w:rPr>
          <w:rFonts w:ascii="Arial" w:cs="Arial" w:eastAsia="Arial" w:hAnsi="Arial"/>
          <w:b w:val="false"/>
          <w:bCs w:val="false"/>
        </w:rPr>
        <w:t xml:space="preserve">The question is not whether 207 Main Street could command trophy-village rent; it cannot, and nothing in this assessment relies on that. The question is whether a typically motivated, well-advised food-service operator would pay more than $54.55/SF for this small, entitled, historic Main Street box next to the hamlet's main parking lot. The weight of the evidence says yes, but by roughly $5–$18/SF rather than by $30 or more. The landlord's strongest argument is not an asking rent. It is the documented market behavior around this exact space: a leasehold that commanded six-figure key money and multiple inquiries, in a hamlet where vacated food spaces re-let within a season and where a neighboring landlord priced a legacy restaurant renewal at about three times its old rent.</w:t>
      </w:r>
    </w:p>
    <w:p>
      <w:pPr>
        <w:keepNext w:val="false"/>
        <w:spacing w:after="140" w:line="276"/>
      </w:pPr>
      <w:r>
        <w:rPr>
          <w:rFonts w:ascii="Arial" w:cs="Arial" w:eastAsia="Arial" w:hAnsi="Arial"/>
          <w:b w:val="false"/>
          <w:bCs w:val="false"/>
        </w:rPr>
        <w:t xml:space="preserve">The weakest link in the landlord's case is that the record contains only one closed Amagansett food-service rent, and it is low. A tenant's broker will build its case on 2095 Montauk Highway and on the subject's physical limits. The reconciled range answers that by pricing those limits explicitly rather than ignoring them. Before any negotiation, three facts held by the landlord or obtainable at modest cost would change the confidence level more than further market research: the lease's type and expense allocation, a measured floor area, and whether the current lease is the one assigned in 2017.</w:t>
      </w:r>
    </w:p>
    <w:p>
      <w:pPr>
        <w:pStyle w:val="Heading1"/>
        <w:pageBreakBefore/>
      </w:pPr>
      <w:bookmarkStart w:name="sec15" w:id="115"/>
      <w:r>
        <w:t xml:space="preserve">Sources / URLs</w:t>
      </w:r>
      <w:bookmarkEnd w:id="115"/>
    </w:p>
    <w:p>
      <w:pPr>
        <w:spacing w:after="140" w:line="276"/>
      </w:pPr>
      <w:r>
        <w:rPr>
          <w:rFonts w:ascii="Arial" w:cs="Arial" w:eastAsia="Arial" w:hAnsi="Arial"/>
          <w:b w:val="false"/>
          <w:bCs w:val="false"/>
          <w:sz w:val="19"/>
          <w:szCs w:val="19"/>
        </w:rPr>
        <w:t xml:space="preserve">All sources accessed 2026-10-07. Grade A = government record or recorded transaction; B = broker listing with detailed terms or established real estate publication; C = historical listing, local newspaper or business website; D = aggregator, unverified database or search snippet.</w:t>
      </w:r>
    </w:p>
    <w:p>
      <w:pPr>
        <w:pStyle w:val="ListParagraph"/>
        <w:numPr>
          <w:ilvl w:val="0"/>
          <w:numId w:val="4"/>
        </w:numPr>
        <w:spacing w:after="70" w:line="240"/>
      </w:pPr>
      <w:r>
        <w:rPr>
          <w:rFonts w:ascii="Arial" w:cs="Arial" w:eastAsia="Arial" w:hAnsi="Arial"/>
          <w:b w:val="false"/>
          <w:bCs w:val="false"/>
          <w:sz w:val="18"/>
          <w:szCs w:val="18"/>
        </w:rPr>
        <w:t xml:space="preserve">NYS ORPTS Property Assessment Data, parcel 171.-1-18 (roll years 2021–2025): </w:t>
      </w:r>
      <w:hyperlink w:history="1" r:id="rIdudh-ihyhyfvf3yss7_qag">
        <w:r>
          <w:rPr>
            <w:rFonts w:ascii="Arial" w:cs="Arial" w:eastAsia="Arial" w:hAnsi="Arial"/>
            <w:color w:val="1F4E79"/>
            <w:sz w:val="18"/>
            <w:szCs w:val="18"/>
          </w:rPr>
          <w:t xml:space="preserve">https://data.ny.gov/resource/7vem-aaz7.json?$where=swis_code=%27472489%27%20AND%20print_key_code=%27171.-1-18%27</w:t>
        </w:r>
      </w:hyperlink>
      <w:r>
        <w:rPr>
          <w:rFonts w:ascii="Arial" w:cs="Arial" w:eastAsia="Arial" w:hAnsi="Arial"/>
          <w:sz w:val="18"/>
          <w:szCs w:val="18"/>
        </w:rPr>
        <w:t xml:space="preserve"> (accessed 2026-10-07). Grade A.</w:t>
      </w:r>
    </w:p>
    <w:p>
      <w:pPr>
        <w:pStyle w:val="ListParagraph"/>
        <w:numPr>
          <w:ilvl w:val="0"/>
          <w:numId w:val="4"/>
        </w:numPr>
        <w:spacing w:after="70" w:line="240"/>
      </w:pPr>
      <w:r>
        <w:rPr>
          <w:rFonts w:ascii="Arial" w:cs="Arial" w:eastAsia="Arial" w:hAnsi="Arial"/>
          <w:b w:val="false"/>
          <w:bCs w:val="false"/>
          <w:sz w:val="18"/>
          <w:szCs w:val="18"/>
        </w:rPr>
        <w:t xml:space="preserve">NYS ORPTS Property Assessment Data, dataset 7vem-aaz7 (block 171-1, 2025 roll): </w:t>
      </w:r>
      <w:hyperlink w:history="1" r:id="rIdoqqq16eqh3utjigbrvo0e">
        <w:r>
          <w:rPr>
            <w:rFonts w:ascii="Arial" w:cs="Arial" w:eastAsia="Arial" w:hAnsi="Arial"/>
            <w:color w:val="1F4E79"/>
            <w:sz w:val="18"/>
            <w:szCs w:val="18"/>
          </w:rPr>
          <w:t xml:space="preserve">https://data.ny.gov/resource/7vem-aaz7.json</w:t>
        </w:r>
      </w:hyperlink>
      <w:r>
        <w:rPr>
          <w:rFonts w:ascii="Arial" w:cs="Arial" w:eastAsia="Arial" w:hAnsi="Arial"/>
          <w:sz w:val="18"/>
          <w:szCs w:val="18"/>
        </w:rPr>
        <w:t xml:space="preserve"> (accessed 2026-10-07). Grade A.</w:t>
      </w:r>
    </w:p>
    <w:p>
      <w:pPr>
        <w:pStyle w:val="ListParagraph"/>
        <w:numPr>
          <w:ilvl w:val="0"/>
          <w:numId w:val="4"/>
        </w:numPr>
        <w:spacing w:after="70" w:line="240"/>
      </w:pPr>
      <w:r>
        <w:rPr>
          <w:rFonts w:ascii="Arial" w:cs="Arial" w:eastAsia="Arial" w:hAnsi="Arial"/>
          <w:b w:val="false"/>
          <w:bCs w:val="false"/>
          <w:sz w:val="18"/>
          <w:szCs w:val="18"/>
        </w:rPr>
        <w:t xml:space="preserve">PropertyShark, 207 Main St, Amagansett: </w:t>
      </w:r>
      <w:hyperlink w:history="1" r:id="rIdrallb_4gkafuua15mutrr">
        <w:r>
          <w:rPr>
            <w:rFonts w:ascii="Arial" w:cs="Arial" w:eastAsia="Arial" w:hAnsi="Arial"/>
            <w:color w:val="1F4E79"/>
            <w:sz w:val="18"/>
            <w:szCs w:val="18"/>
          </w:rPr>
          <w:t xml:space="preserve">https://www.propertyshark.com/mason/Property/33812847/207-Main-St-Amagansett-NY-11930/</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Town of East Hampton Code ch. 255, Appendix A, Amagansett Historic District Guidelines: </w:t>
      </w:r>
      <w:hyperlink w:history="1" r:id="rIdnnrekeurcnomzkrehuelk">
        <w:r>
          <w:rPr>
            <w:rFonts w:ascii="Arial" w:cs="Arial" w:eastAsia="Arial" w:hAnsi="Arial"/>
            <w:color w:val="1F4E79"/>
            <w:sz w:val="18"/>
            <w:szCs w:val="18"/>
          </w:rPr>
          <w:t xml:space="preserve">https://ecode360.com/10416540</w:t>
        </w:r>
      </w:hyperlink>
      <w:r>
        <w:rPr>
          <w:rFonts w:ascii="Arial" w:cs="Arial" w:eastAsia="Arial" w:hAnsi="Arial"/>
          <w:sz w:val="18"/>
          <w:szCs w:val="18"/>
        </w:rPr>
        <w:t xml:space="preserve"> (accessed 2026-10-07, via archived copy). Grade A.</w:t>
      </w:r>
    </w:p>
    <w:p>
      <w:pPr>
        <w:pStyle w:val="ListParagraph"/>
        <w:numPr>
          <w:ilvl w:val="0"/>
          <w:numId w:val="4"/>
        </w:numPr>
        <w:spacing w:after="70" w:line="240"/>
      </w:pPr>
      <w:r>
        <w:rPr>
          <w:rFonts w:ascii="Arial" w:cs="Arial" w:eastAsia="Arial" w:hAnsi="Arial"/>
          <w:b w:val="false"/>
          <w:bCs w:val="false"/>
          <w:sz w:val="18"/>
          <w:szCs w:val="18"/>
        </w:rPr>
        <w:t xml:space="preserve">Town of East Hampton Code § 255-11-10, Use Table for Commercial Uses (2018): </w:t>
      </w:r>
      <w:hyperlink w:history="1" r:id="rId2xpas0bfz6ws1b4tjkaky">
        <w:r>
          <w:rPr>
            <w:rFonts w:ascii="Arial" w:cs="Arial" w:eastAsia="Arial" w:hAnsi="Arial"/>
            <w:color w:val="1F4E79"/>
            <w:sz w:val="18"/>
            <w:szCs w:val="18"/>
          </w:rPr>
          <w:t xml:space="preserve">https://ecode360.com/attachment/EA0658/EA0658-255c%20Use%20Table%20-%20Commercial.pdf</w:t>
        </w:r>
      </w:hyperlink>
      <w:r>
        <w:rPr>
          <w:rFonts w:ascii="Arial" w:cs="Arial" w:eastAsia="Arial" w:hAnsi="Arial"/>
          <w:sz w:val="18"/>
          <w:szCs w:val="18"/>
        </w:rPr>
        <w:t xml:space="preserve"> (accessed 2026-10-07, via archived copy). Grade A.</w:t>
      </w:r>
    </w:p>
    <w:p>
      <w:pPr>
        <w:pStyle w:val="ListParagraph"/>
        <w:numPr>
          <w:ilvl w:val="0"/>
          <w:numId w:val="4"/>
        </w:numPr>
        <w:spacing w:after="70" w:line="240"/>
      </w:pPr>
      <w:r>
        <w:rPr>
          <w:rFonts w:ascii="Arial" w:cs="Arial" w:eastAsia="Arial" w:hAnsi="Arial"/>
          <w:b w:val="false"/>
          <w:bCs w:val="false"/>
          <w:sz w:val="18"/>
          <w:szCs w:val="18"/>
        </w:rPr>
        <w:t xml:space="preserve">Town of East Hampton Code ch. 255, Attachment 5, Dimensional Regulations: </w:t>
      </w:r>
      <w:hyperlink w:history="1" r:id="rIdbpor2mctjqidiyi1dsz2g">
        <w:r>
          <w:rPr>
            <w:rFonts w:ascii="Arial" w:cs="Arial" w:eastAsia="Arial" w:hAnsi="Arial"/>
            <w:color w:val="1F4E79"/>
            <w:sz w:val="18"/>
            <w:szCs w:val="18"/>
          </w:rPr>
          <w:t xml:space="preserve">https://ecode360.com/attachment/EA0658/EA0658-255e%20Business%20Commercial%20Industrial%20-%20Dimensional%20Regs.pdf</w:t>
        </w:r>
      </w:hyperlink>
      <w:r>
        <w:rPr>
          <w:rFonts w:ascii="Arial" w:cs="Arial" w:eastAsia="Arial" w:hAnsi="Arial"/>
          <w:sz w:val="18"/>
          <w:szCs w:val="18"/>
        </w:rPr>
        <w:t xml:space="preserve"> (accessed 2026-10-07, via archived copy). Grade A.</w:t>
      </w:r>
    </w:p>
    <w:p>
      <w:pPr>
        <w:pStyle w:val="ListParagraph"/>
        <w:numPr>
          <w:ilvl w:val="0"/>
          <w:numId w:val="4"/>
        </w:numPr>
        <w:spacing w:after="70" w:line="240"/>
      </w:pPr>
      <w:r>
        <w:rPr>
          <w:rFonts w:ascii="Arial" w:cs="Arial" w:eastAsia="Arial" w:hAnsi="Arial"/>
          <w:b w:val="false"/>
          <w:bCs w:val="false"/>
          <w:sz w:val="18"/>
          <w:szCs w:val="18"/>
        </w:rPr>
        <w:t xml:space="preserve">Town of East Hampton Planning Dept., ARB Evaluation, 177 Main St (2023-07-10): </w:t>
      </w:r>
      <w:hyperlink w:history="1" r:id="rIdmljpnlxhkidlmtygyahhi">
        <w:r>
          <w:rPr>
            <w:rFonts w:ascii="Arial" w:cs="Arial" w:eastAsia="Arial" w:hAnsi="Arial"/>
            <w:color w:val="1F4E79"/>
            <w:sz w:val="18"/>
            <w:szCs w:val="18"/>
          </w:rPr>
          <w:t xml:space="preserve">https://www.ehamptonny.gov/AgendaCenter/ViewFile/Item/2157?fileID=5624</w:t>
        </w:r>
      </w:hyperlink>
      <w:r>
        <w:rPr>
          <w:rFonts w:ascii="Arial" w:cs="Arial" w:eastAsia="Arial" w:hAnsi="Arial"/>
          <w:sz w:val="18"/>
          <w:szCs w:val="18"/>
        </w:rPr>
        <w:t xml:space="preserve"> (accessed 2026-10-07). Grade A.</w:t>
      </w:r>
    </w:p>
    <w:p>
      <w:pPr>
        <w:pStyle w:val="ListParagraph"/>
        <w:numPr>
          <w:ilvl w:val="0"/>
          <w:numId w:val="4"/>
        </w:numPr>
        <w:spacing w:after="70" w:line="240"/>
      </w:pPr>
      <w:r>
        <w:rPr>
          <w:rFonts w:ascii="Arial" w:cs="Arial" w:eastAsia="Arial" w:hAnsi="Arial"/>
          <w:b w:val="false"/>
          <w:bCs w:val="false"/>
          <w:sz w:val="18"/>
          <w:szCs w:val="18"/>
        </w:rPr>
        <w:t xml:space="preserve">Suffolk County Planning Commission staff report, East Hampton hamlet reports (2020): </w:t>
      </w:r>
      <w:hyperlink w:history="1" r:id="rIdxdtokcgbfwslajh86_xvq">
        <w:r>
          <w:rPr>
            <w:rFonts w:ascii="Arial" w:cs="Arial" w:eastAsia="Arial" w:hAnsi="Arial"/>
            <w:color w:val="1F4E79"/>
            <w:sz w:val="18"/>
            <w:szCs w:val="18"/>
          </w:rPr>
          <w:t xml:space="preserve">https://suffolkcountyny.gov/Portals/0/formsdocs/planning/scplanningcommission/2020/Staff%20Report%20Town%20of%20East%20Hampton%20-%20Comp%20Plan%20amendment%20East%20Hampton%20Hamlet%20Reports%20Amagansett%20a.pdf</w:t>
        </w:r>
      </w:hyperlink>
      <w:r>
        <w:rPr>
          <w:rFonts w:ascii="Arial" w:cs="Arial" w:eastAsia="Arial" w:hAnsi="Arial"/>
          <w:sz w:val="18"/>
          <w:szCs w:val="18"/>
        </w:rPr>
        <w:t xml:space="preserve"> (accessed 2026-10-07). Grade A.</w:t>
      </w:r>
    </w:p>
    <w:p>
      <w:pPr>
        <w:pStyle w:val="ListParagraph"/>
        <w:numPr>
          <w:ilvl w:val="0"/>
          <w:numId w:val="4"/>
        </w:numPr>
        <w:spacing w:after="70" w:line="240"/>
      </w:pPr>
      <w:r>
        <w:rPr>
          <w:rFonts w:ascii="Arial" w:cs="Arial" w:eastAsia="Arial" w:hAnsi="Arial"/>
          <w:b w:val="false"/>
          <w:bCs w:val="false"/>
          <w:sz w:val="18"/>
          <w:szCs w:val="18"/>
        </w:rPr>
        <w:t xml:space="preserve">Patch, Mary's Marvelous Amagansett to close; new tenant sought (2016-12-08): </w:t>
      </w:r>
      <w:hyperlink w:history="1" r:id="rId_fkat7enbmd4vpy3aecqy">
        <w:r>
          <w:rPr>
            <w:rFonts w:ascii="Arial" w:cs="Arial" w:eastAsia="Arial" w:hAnsi="Arial"/>
            <w:color w:val="1F4E79"/>
            <w:sz w:val="18"/>
            <w:szCs w:val="18"/>
          </w:rPr>
          <w:t xml:space="preserve">https://patch.com/new-york/riverhead/marys-marvelous-amagansett-close-new-tenant-sought</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27east, Mary's Marvelous in Amagansett to close when new tenant is found (2016-12-09): </w:t>
      </w:r>
      <w:hyperlink w:history="1" r:id="rId-4axtl94urrolqvgvzxds">
        <w:r>
          <w:rPr>
            <w:rFonts w:ascii="Arial" w:cs="Arial" w:eastAsia="Arial" w:hAnsi="Arial"/>
            <w:color w:val="1F4E79"/>
            <w:sz w:val="18"/>
            <w:szCs w:val="18"/>
          </w:rPr>
          <w:t xml:space="preserve">https://www.27east.com/real-estate-news/marys-marvelous-in-amagansett-to-close-when-new-tenant-is-found-1404430</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Dan's Papers, Mary's Marvelous closing and available to lease (2016-12-09): </w:t>
      </w:r>
      <w:hyperlink w:history="1" r:id="rIdcvry-qedllxwigxvqfhs8">
        <w:r>
          <w:rPr>
            <w:rFonts w:ascii="Arial" w:cs="Arial" w:eastAsia="Arial" w:hAnsi="Arial"/>
            <w:color w:val="1F4E79"/>
            <w:sz w:val="18"/>
            <w:szCs w:val="18"/>
          </w:rPr>
          <w:t xml:space="preserve">https://www.danspapers.com/2016/12/marys-marvelous-in-amagansett-closing-and-available-to-lease/</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Behind the Hedges, Mary's Marvelous closing and available to lease (2016-12-09): </w:t>
      </w:r>
      <w:hyperlink w:history="1" r:id="rIdjph9x8556icyzapatxpa6">
        <w:r>
          <w:rPr>
            <w:rFonts w:ascii="Arial" w:cs="Arial" w:eastAsia="Arial" w:hAnsi="Arial"/>
            <w:color w:val="1F4E79"/>
            <w:sz w:val="18"/>
            <w:szCs w:val="18"/>
          </w:rPr>
          <w:t xml:space="preserve">https://behindthehedges.com/marys-marvelous-in-amagansett-closing-and-available-to-lease/</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Behind the Hedges, Mary's Marvelous Amagansett to shut, Organic Krush to open (2017-06-15): </w:t>
      </w:r>
      <w:hyperlink w:history="1" r:id="rIdd93hnenmdvruwvfadogaw">
        <w:r>
          <w:rPr>
            <w:rFonts w:ascii="Arial" w:cs="Arial" w:eastAsia="Arial" w:hAnsi="Arial"/>
            <w:color w:val="1F4E79"/>
            <w:sz w:val="18"/>
            <w:szCs w:val="18"/>
          </w:rPr>
          <w:t xml:space="preserve">https://behindthehedges.com/marys-marvelous-amagansett-shut-organic-krush-open/</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Dan's Papers, Behind the Hedges: Organic Krush in Amagansett (2017-06-15): </w:t>
      </w:r>
      <w:hyperlink w:history="1" r:id="rId_pennywvz2aklw97a_qrx">
        <w:r>
          <w:rPr>
            <w:rFonts w:ascii="Arial" w:cs="Arial" w:eastAsia="Arial" w:hAnsi="Arial"/>
            <w:color w:val="1F4E79"/>
            <w:sz w:val="18"/>
            <w:szCs w:val="18"/>
          </w:rPr>
          <w:t xml:space="preserve">https://www.danspapers.com/2017/06/behind-the-hedges-organic-krush-in-amagansett</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27east / East Hampton Press, Mary's Marvelous leaves Amagansett, Organic Krush to move in (2017-06-15): </w:t>
      </w:r>
      <w:hyperlink w:history="1" r:id="rId_o0obypcr0re6l5kk2txw">
        <w:r>
          <w:rPr>
            <w:rFonts w:ascii="Arial" w:cs="Arial" w:eastAsia="Arial" w:hAnsi="Arial"/>
            <w:color w:val="1F4E79"/>
            <w:sz w:val="18"/>
            <w:szCs w:val="18"/>
          </w:rPr>
          <w:t xml:space="preserve">https://27east.com/east-hampton-press/marys-marvelous-leaves-amagansett-organic-krush-to-move-in-1633346</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Patch, Mary's Marvelous sold; Organic Krush set to open (2017-06-15): </w:t>
      </w:r>
      <w:hyperlink w:history="1" r:id="rIdxjk-lg5gtimp82xlqpysv">
        <w:r>
          <w:rPr>
            <w:rFonts w:ascii="Arial" w:cs="Arial" w:eastAsia="Arial" w:hAnsi="Arial"/>
            <w:color w:val="1F4E79"/>
            <w:sz w:val="18"/>
            <w:szCs w:val="18"/>
          </w:rPr>
          <w:t xml:space="preserve">https://patch.com/new-york/easthampton/marys-marvelous-sold-organic-krush-set-open-shop</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Hamptons.com, Organic café taking over Mary's Marvelous (2017-06-15): </w:t>
      </w:r>
      <w:hyperlink w:history="1" r:id="rIdkgauk7rhoxqdxo28n2lhq">
        <w:r>
          <w:rPr>
            <w:rFonts w:ascii="Arial" w:cs="Arial" w:eastAsia="Arial" w:hAnsi="Arial"/>
            <w:color w:val="1F4E79"/>
            <w:sz w:val="18"/>
            <w:szCs w:val="18"/>
          </w:rPr>
          <w:t xml:space="preserve">https://hamptons.com/real-estate-real-estate-news-23449-organic-cafe-taking-over-marys-marvelous-html/</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Mary's Marvelous Substack, "The vacant storefront that held my..." (2024-11-12): </w:t>
      </w:r>
      <w:hyperlink w:history="1" r:id="rIdeycoavbtwsmahjxtw6k3t">
        <w:r>
          <w:rPr>
            <w:rFonts w:ascii="Arial" w:cs="Arial" w:eastAsia="Arial" w:hAnsi="Arial"/>
            <w:color w:val="1F4E79"/>
            <w:sz w:val="18"/>
            <w:szCs w:val="18"/>
          </w:rPr>
          <w:t xml:space="preserve">https://marysmarvelous.substack.com/p/the-vacant-storefront-that-held-my</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Krush squeezes into 'Gansett (2017-08-03): </w:t>
      </w:r>
      <w:hyperlink w:history="1" r:id="rIdi34coagiqzmxup7a-q52a">
        <w:r>
          <w:rPr>
            <w:rFonts w:ascii="Arial" w:cs="Arial" w:eastAsia="Arial" w:hAnsi="Arial"/>
            <w:color w:val="1F4E79"/>
            <w:sz w:val="18"/>
            <w:szCs w:val="18"/>
          </w:rPr>
          <w:t xml:space="preserve">https://www.easthamptonstar.com/archive/krush-squeezes-gansett</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Dan's Papers, Organic Krush reopens Amagansett location (2020-04-14): </w:t>
      </w:r>
      <w:hyperlink w:history="1" r:id="rIdsf1oja-si6ptmtomeatak">
        <w:r>
          <w:rPr>
            <w:rFonts w:ascii="Arial" w:cs="Arial" w:eastAsia="Arial" w:hAnsi="Arial"/>
            <w:color w:val="1F4E79"/>
            <w:sz w:val="18"/>
            <w:szCs w:val="18"/>
          </w:rPr>
          <w:t xml:space="preserve">https://www.danspapers.com/2020/04/organic-krush-reopens-amagansett-location</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Organic Krush, Locations: </w:t>
      </w:r>
      <w:hyperlink w:history="1" r:id="rId67sau_ld960kv4itziqwa">
        <w:r>
          <w:rPr>
            <w:rFonts w:ascii="Arial" w:cs="Arial" w:eastAsia="Arial" w:hAnsi="Arial"/>
            <w:color w:val="1F4E79"/>
            <w:sz w:val="18"/>
            <w:szCs w:val="18"/>
          </w:rPr>
          <w:t xml:space="preserve">https://organickrush.com/locations/</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Organic Krush, Amagansett menu and hours: </w:t>
      </w:r>
      <w:hyperlink w:history="1" r:id="rIdsl0zlypt_fcadoqh4of2y">
        <w:r>
          <w:rPr>
            <w:rFonts w:ascii="Arial" w:cs="Arial" w:eastAsia="Arial" w:hAnsi="Arial"/>
            <w:color w:val="1F4E79"/>
            <w:sz w:val="18"/>
            <w:szCs w:val="18"/>
          </w:rPr>
          <w:t xml:space="preserve">https://organickrush.com/organic-krush-menu-amagansett/</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Organic Krush location page, 207 Main Street: </w:t>
      </w:r>
      <w:hyperlink w:history="1" r:id="rIdfjemuvdhw2hfiumistozj">
        <w:r>
          <w:rPr>
            <w:rFonts w:ascii="Arial" w:cs="Arial" w:eastAsia="Arial" w:hAnsi="Arial"/>
            <w:color w:val="1F4E79"/>
            <w:sz w:val="18"/>
            <w:szCs w:val="18"/>
          </w:rPr>
          <w:t xml:space="preserve">https://locations.organickrush.com/ny/amagansett/207-main-street</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Amagansett Main Street is in flux (2023-02-16): </w:t>
      </w:r>
      <w:hyperlink w:history="1" r:id="rIdwufgcib86e1hodw_qyfnz">
        <w:r>
          <w:rPr>
            <w:rFonts w:ascii="Arial" w:cs="Arial" w:eastAsia="Arial" w:hAnsi="Arial"/>
            <w:color w:val="1F4E79"/>
            <w:sz w:val="18"/>
            <w:szCs w:val="18"/>
          </w:rPr>
          <w:t xml:space="preserve">https://www.easthamptonstar.com/villages-business/2023216/amagansett-main-street-flux</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More parking in Amagansett by Memorial Day (2020-01-23): </w:t>
      </w:r>
      <w:hyperlink w:history="1" r:id="rIdzmrnknbyrorncqgixhzxt">
        <w:r>
          <w:rPr>
            <w:rFonts w:ascii="Arial" w:cs="Arial" w:eastAsia="Arial" w:hAnsi="Arial"/>
            <w:color w:val="1F4E79"/>
            <w:sz w:val="18"/>
            <w:szCs w:val="18"/>
          </w:rPr>
          <w:t xml:space="preserve">https://easthamptonstar.com/government/2020123/more-parking-amagansett-memorial-day</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Richmond BizSense, Organic Krush closes Short Pump outpost (2023-09-18): </w:t>
      </w:r>
      <w:hyperlink w:history="1" r:id="rIdgnbv4ebyyqka7xzwm5u2z">
        <w:r>
          <w:rPr>
            <w:rFonts w:ascii="Arial" w:cs="Arial" w:eastAsia="Arial" w:hAnsi="Arial"/>
            <w:color w:val="1F4E79"/>
            <w:sz w:val="18"/>
            <w:szCs w:val="18"/>
          </w:rPr>
          <w:t xml:space="preserve">https://richmondbizsense.com/2023/09/18/organic-krush-restaurant-closes-short-pump-outpost-after-4-years/</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Richmond BizSense, Organic Krush closes at UR campus (2024-06-17): </w:t>
      </w:r>
      <w:hyperlink w:history="1" r:id="rIdgbydtmf7c8payxihqlv4i">
        <w:r>
          <w:rPr>
            <w:rFonts w:ascii="Arial" w:cs="Arial" w:eastAsia="Arial" w:hAnsi="Arial"/>
            <w:color w:val="1F4E79"/>
            <w:sz w:val="18"/>
            <w:szCs w:val="18"/>
          </w:rPr>
          <w:t xml:space="preserve">https://richmondbizsense.com/2024/06/17/organic-krush-closes-at-ur-campus-new-eatery-to-open-in-its-place/</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Hamptons Commercial Real Estate (HCRE), Iconic Amagansett Restaurant, 74A Montauk Hwy: </w:t>
      </w:r>
      <w:hyperlink w:history="1" r:id="rIdejxy-ld3u2kksbpby3k7c">
        <w:r>
          <w:rPr>
            <w:rFonts w:ascii="Arial" w:cs="Arial" w:eastAsia="Arial" w:hAnsi="Arial"/>
            <w:color w:val="1F4E79"/>
            <w:sz w:val="18"/>
            <w:szCs w:val="18"/>
          </w:rPr>
          <w:t xml:space="preserve">https://hamptonscommercialre.com/properties/iconic-amagansett-restaurant-turn-key-opportunity/</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Compass, 74-A Montauk Hwy: </w:t>
      </w:r>
      <w:hyperlink w:history="1" r:id="rIdyhadc5uauzn3ejwxryli4">
        <w:r>
          <w:rPr>
            <w:rFonts w:ascii="Arial" w:cs="Arial" w:eastAsia="Arial" w:hAnsi="Arial"/>
            <w:color w:val="1F4E79"/>
            <w:sz w:val="18"/>
            <w:szCs w:val="18"/>
          </w:rPr>
          <w:t xml:space="preserve">https://www.compass.com/homedetails/74-A-Montauk-Hwy-Amagansett-NY-11930/2070541251466245481_lid/</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Saunders, 74A Montauk Highway (WEB# 930465): </w:t>
      </w:r>
      <w:hyperlink w:history="1" r:id="rIdzp3cgirgclawy6e1g8i6k">
        <w:r>
          <w:rPr>
            <w:rFonts w:ascii="Arial" w:cs="Arial" w:eastAsia="Arial" w:hAnsi="Arial"/>
            <w:color w:val="1F4E79"/>
            <w:sz w:val="18"/>
            <w:szCs w:val="18"/>
          </w:rPr>
          <w:t xml:space="preserve">https://www.hamptonsrealestate.com/eng/hampton-rentals/detail/524-l-526-930465/74a-montauk-highway-amagansett-ny-11930</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CityFeet, 74A Montauk Hwy (search snippet; page 403): </w:t>
      </w:r>
      <w:hyperlink w:history="1" r:id="rIdeoyeiybesjha-0fx15ytj">
        <w:r>
          <w:rPr>
            <w:rFonts w:ascii="Arial" w:cs="Arial" w:eastAsia="Arial" w:hAnsi="Arial"/>
            <w:color w:val="1F4E79"/>
            <w:sz w:val="18"/>
            <w:szCs w:val="18"/>
          </w:rPr>
          <w:t xml:space="preserve">https://www.cityfeet.com/cont/listing/74a-montauk-hwy-amagansett-ny-11930/cs39907135</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Crexi, 74A Montauk Highway (search snippet; page 403): </w:t>
      </w:r>
      <w:hyperlink w:history="1" r:id="rId53wgy0b-8sd6laqgsjvlk">
        <w:r>
          <w:rPr>
            <w:rFonts w:ascii="Arial" w:cs="Arial" w:eastAsia="Arial" w:hAnsi="Arial"/>
            <w:color w:val="1F4E79"/>
            <w:sz w:val="18"/>
            <w:szCs w:val="18"/>
          </w:rPr>
          <w:t xml:space="preserve">https://www.crexi.com/lease/properties/1155311/new-york-74a-montauk-highway---iconic-amagansett-restaurant</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HCRE, 11 Indian Wells Hwy, first floor: </w:t>
      </w:r>
      <w:hyperlink w:history="1" r:id="rIdmq51hqtcfzvju3qttjeun">
        <w:r>
          <w:rPr>
            <w:rFonts w:ascii="Arial" w:cs="Arial" w:eastAsia="Arial" w:hAnsi="Arial"/>
            <w:color w:val="1F4E79"/>
            <w:sz w:val="18"/>
            <w:szCs w:val="18"/>
          </w:rPr>
          <w:t xml:space="preserve">https://hamptonscommercialre.com/properties/first-floor-commercial-space/</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11 Indian Wells Hwy, ground level: </w:t>
      </w:r>
      <w:hyperlink w:history="1" r:id="rIdmof1mmwd5eyv1fgmifvb0">
        <w:r>
          <w:rPr>
            <w:rFonts w:ascii="Arial" w:cs="Arial" w:eastAsia="Arial" w:hAnsi="Arial"/>
            <w:color w:val="1F4E79"/>
            <w:sz w:val="18"/>
            <w:szCs w:val="18"/>
          </w:rPr>
          <w:t xml:space="preserve">https://hamptonscommercialre.com/properties/ground-level-commercial-offering/</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11 Indian Wells Hwy, second floor: </w:t>
      </w:r>
      <w:hyperlink w:history="1" r:id="rId-u6vdqdwbe1sggksmkmjn">
        <w:r>
          <w:rPr>
            <w:rFonts w:ascii="Arial" w:cs="Arial" w:eastAsia="Arial" w:hAnsi="Arial"/>
            <w:color w:val="1F4E79"/>
            <w:sz w:val="18"/>
            <w:szCs w:val="18"/>
          </w:rPr>
          <w:t xml:space="preserve">https://hamptonscommercialre.com/properties/second-floor-amagansett-commercial-flex-space-iconic-building/</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136 Main St and 11 Indian Wells Hwy assemblage (sale; 2025 tax bills): </w:t>
      </w:r>
      <w:hyperlink w:history="1" r:id="rIdhwlguyppcmq2_zdn9ptdi">
        <w:r>
          <w:rPr>
            <w:rFonts w:ascii="Arial" w:cs="Arial" w:eastAsia="Arial" w:hAnsi="Arial"/>
            <w:color w:val="1F4E79"/>
            <w:sz w:val="18"/>
            <w:szCs w:val="18"/>
          </w:rPr>
          <w:t xml:space="preserve">https://hamptonscommercialre.com/properties/premier-amagansett-commercial-assemblage-136-main-street-11-indian-wells-hwy-amagansett/</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Crexi, 11 Indian Wells Hwy (search snippet; page 403): </w:t>
      </w:r>
      <w:hyperlink w:history="1" r:id="rIdgk6xaiwiepfokp2fneo6k">
        <w:r>
          <w:rPr>
            <w:rFonts w:ascii="Arial" w:cs="Arial" w:eastAsia="Arial" w:hAnsi="Arial"/>
            <w:color w:val="1F4E79"/>
            <w:sz w:val="18"/>
            <w:szCs w:val="18"/>
          </w:rPr>
          <w:t xml:space="preserve">https://www.crexi.com/lease/properties/718872/new-york-11-indian-wells-hwy</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LoopNet, 136 Main St Unit 1 (search snippet; page 403): </w:t>
      </w:r>
      <w:hyperlink w:history="1" r:id="rIdwal26v8aehli5g7dqhs15">
        <w:r>
          <w:rPr>
            <w:rFonts w:ascii="Arial" w:cs="Arial" w:eastAsia="Arial" w:hAnsi="Arial"/>
            <w:color w:val="1F4E79"/>
            <w:sz w:val="18"/>
            <w:szCs w:val="18"/>
          </w:rPr>
          <w:t xml:space="preserve">https://www.loopnet.com/Listing/136-Main-St-Amagansett-NY/32986784/</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HCRE, Retail End Cap, Prime Visibility, 136 Main St Unit 1 (returns 404): </w:t>
      </w:r>
      <w:hyperlink w:history="1" r:id="rId7bepgvettzawsd2xde2zi">
        <w:r>
          <w:rPr>
            <w:rFonts w:ascii="Arial" w:cs="Arial" w:eastAsia="Arial" w:hAnsi="Arial"/>
            <w:color w:val="1F4E79"/>
            <w:sz w:val="18"/>
            <w:szCs w:val="18"/>
          </w:rPr>
          <w:t xml:space="preserve">https://hamptonscommercialre.com/properties/retail-end-cap-prime-visibility/</w:t>
        </w:r>
      </w:hyperlink>
      <w:r>
        <w:rPr>
          <w:rFonts w:ascii="Arial" w:cs="Arial" w:eastAsia="Arial" w:hAnsi="Arial"/>
          <w:sz w:val="18"/>
          <w:szCs w:val="18"/>
        </w:rPr>
        <w:t xml:space="preserve"> (accessed 2026-10-07). Grade B (for withdrawal status).</w:t>
      </w:r>
    </w:p>
    <w:p>
      <w:pPr>
        <w:pStyle w:val="ListParagraph"/>
        <w:numPr>
          <w:ilvl w:val="0"/>
          <w:numId w:val="4"/>
        </w:numPr>
        <w:spacing w:after="70" w:line="240"/>
      </w:pPr>
      <w:r>
        <w:rPr>
          <w:rFonts w:ascii="Arial" w:cs="Arial" w:eastAsia="Arial" w:hAnsi="Arial"/>
          <w:b w:val="false"/>
          <w:bCs w:val="false"/>
          <w:sz w:val="18"/>
          <w:szCs w:val="18"/>
        </w:rPr>
        <w:t xml:space="preserve">Compass, The Hamptons Commercial Real Estate Team (active and past listings): </w:t>
      </w:r>
      <w:hyperlink w:history="1" r:id="rIdsg8kad5pa-zdmsu0p5vhs">
        <w:r>
          <w:rPr>
            <w:rFonts w:ascii="Arial" w:cs="Arial" w:eastAsia="Arial" w:hAnsi="Arial"/>
            <w:color w:val="1F4E79"/>
            <w:sz w:val="18"/>
            <w:szCs w:val="18"/>
          </w:rPr>
          <w:t xml:space="preserve">https://www.compass.com/agents/the-hamptons-commercial-real-estate-team/</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Compass, 136 Main Street warehouse (off market): </w:t>
      </w:r>
      <w:hyperlink w:history="1" r:id="rIdpjihpo12iwjfaz0wtwa2u">
        <w:r>
          <w:rPr>
            <w:rFonts w:ascii="Arial" w:cs="Arial" w:eastAsia="Arial" w:hAnsi="Arial"/>
            <w:color w:val="1F4E79"/>
            <w:sz w:val="18"/>
            <w:szCs w:val="18"/>
          </w:rPr>
          <w:t xml:space="preserve">https://www.compass.com/listing/136-main-street-amagansett-ny-11930/1819738165409919177/</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Compass, 2095 Montauk Hwy (Rented; closed 2025-06-08): </w:t>
      </w:r>
      <w:hyperlink w:history="1" r:id="rIdizn3odkxl0shoed-b9m-9">
        <w:r>
          <w:rPr>
            <w:rFonts w:ascii="Arial" w:cs="Arial" w:eastAsia="Arial" w:hAnsi="Arial"/>
            <w:color w:val="1F4E79"/>
            <w:sz w:val="18"/>
            <w:szCs w:val="18"/>
          </w:rPr>
          <w:t xml:space="preserve">https://www.compass.com/homedetails/2095-Montauk-Hwy-Amagansett-NY-11930/1826297907410452777_lid/</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Behind the Hedges, Fall 2024 food and beverage market (2024-10-10): </w:t>
      </w:r>
      <w:hyperlink w:history="1" r:id="rIdhb-edae9uuy8w30s9k01o">
        <w:r>
          <w:rPr>
            <w:rFonts w:ascii="Arial" w:cs="Arial" w:eastAsia="Arial" w:hAnsi="Arial"/>
            <w:color w:val="1F4E79"/>
            <w:sz w:val="18"/>
            <w:szCs w:val="18"/>
          </w:rPr>
          <w:t xml:space="preserve">https://behindthehedges.com/fall-2024-food-market-commercial-real-estate</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TenantBase, 519–521 Montauk Hwy: </w:t>
      </w:r>
      <w:hyperlink w:history="1" r:id="rId4sgruzccetpz_syiytas0">
        <w:r>
          <w:rPr>
            <w:rFonts w:ascii="Arial" w:cs="Arial" w:eastAsia="Arial" w:hAnsi="Arial"/>
            <w:color w:val="1F4E79"/>
            <w:sz w:val="18"/>
            <w:szCs w:val="18"/>
          </w:rPr>
          <w:t xml:space="preserve">https://www.tenantbase.com/us/building/196079</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Behind the Hedges, Amagansett commercial property lists for $8 million (2023-06-24): </w:t>
      </w:r>
      <w:hyperlink w:history="1" r:id="rId_vxanrk84awdkud-jxms_">
        <w:r>
          <w:rPr>
            <w:rFonts w:ascii="Arial" w:cs="Arial" w:eastAsia="Arial" w:hAnsi="Arial"/>
            <w:color w:val="1F4E79"/>
            <w:sz w:val="18"/>
            <w:szCs w:val="18"/>
          </w:rPr>
          <w:t xml:space="preserve">https://behindthehedges.com/amagansett-commercial-property-lists-8-million</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CityFeet, 519–521 Montauk Hwy (search snippet): </w:t>
      </w:r>
      <w:hyperlink w:history="1" r:id="rIdi7liezzmlbansrhj8au9x">
        <w:r>
          <w:rPr>
            <w:rFonts w:ascii="Arial" w:cs="Arial" w:eastAsia="Arial" w:hAnsi="Arial"/>
            <w:color w:val="1F4E79"/>
            <w:sz w:val="18"/>
            <w:szCs w:val="18"/>
          </w:rPr>
          <w:t xml:space="preserve">https://www.cityfeet.com/cont/listing/519-521-montauk-hwy-amagansett-ny-11930/cs39871633</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Corcoran, 249 Main Street pop-up (2021): </w:t>
      </w:r>
      <w:hyperlink w:history="1" r:id="rId_4ydsodsixk90u1co9wbo">
        <w:r>
          <w:rPr>
            <w:rFonts w:ascii="Arial" w:cs="Arial" w:eastAsia="Arial" w:hAnsi="Arial"/>
            <w:color w:val="1F4E79"/>
            <w:sz w:val="18"/>
            <w:szCs w:val="18"/>
          </w:rPr>
          <w:t xml:space="preserve">https://www.corcoran.com/listing/for-rent/249-main-street-amagansett-ny-11930/5981523/regionId/3</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HCRE properties sitemap: </w:t>
      </w:r>
      <w:hyperlink w:history="1" r:id="rIdmb6rgaknswdwmmhzjbzs8">
        <w:r>
          <w:rPr>
            <w:rFonts w:ascii="Arial" w:cs="Arial" w:eastAsia="Arial" w:hAnsi="Arial"/>
            <w:color w:val="1F4E79"/>
            <w:sz w:val="18"/>
            <w:szCs w:val="18"/>
          </w:rPr>
          <w:t xml:space="preserve">https://hamptonscommercialre.com/properties-sitemap.xml</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LoopNet, Amagansett retail for lease (search snippet): </w:t>
      </w:r>
      <w:hyperlink w:history="1" r:id="rId-9chebrw7tqy8afemadey">
        <w:r>
          <w:rPr>
            <w:rFonts w:ascii="Arial" w:cs="Arial" w:eastAsia="Arial" w:hAnsi="Arial"/>
            <w:color w:val="1F4E79"/>
            <w:sz w:val="18"/>
            <w:szCs w:val="18"/>
          </w:rPr>
          <w:t xml:space="preserve">https://www.loopnet.com/search/retail-space/amagansett-ny/for-lease/</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HCRE, 17 S Edison St, Montauk restaurant: </w:t>
      </w:r>
      <w:hyperlink w:history="1" r:id="rIdvbw_-gnzls_rrxt2ldnfy">
        <w:r>
          <w:rPr>
            <w:rFonts w:ascii="Arial" w:cs="Arial" w:eastAsia="Arial" w:hAnsi="Arial"/>
            <w:color w:val="1F4E79"/>
            <w:sz w:val="18"/>
            <w:szCs w:val="18"/>
          </w:rPr>
          <w:t xml:space="preserve">https://hamptonscommercialre.com/properties/17-s-edison-st-montauk-restaurant/</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53 The Circle, East Hampton (lease): </w:t>
      </w:r>
      <w:hyperlink w:history="1" r:id="rId-mjd6hqe5-nw6cv_pyej7">
        <w:r>
          <w:rPr>
            <w:rFonts w:ascii="Arial" w:cs="Arial" w:eastAsia="Arial" w:hAnsi="Arial"/>
            <w:color w:val="1F4E79"/>
            <w:sz w:val="18"/>
            <w:szCs w:val="18"/>
          </w:rPr>
          <w:t xml:space="preserve">https://hamptonscommercialre.com/properties/retail-storefront-in-the-core-shopping-district-of-east-hampton-village/</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53 The Circle, East Hampton (sale): </w:t>
      </w:r>
      <w:hyperlink w:history="1" r:id="rId1tyqcf2v6kufhzxo3kaa9">
        <w:r>
          <w:rPr>
            <w:rFonts w:ascii="Arial" w:cs="Arial" w:eastAsia="Arial" w:hAnsi="Arial"/>
            <w:color w:val="1F4E79"/>
            <w:sz w:val="18"/>
            <w:szCs w:val="18"/>
          </w:rPr>
          <w:t xml:space="preserve">https://hamptonscommercialre.com/properties/prime-east-hampton-village-retail/</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Traded.co, GreyVen lease, 53 The Circle (search snippet; page 403): </w:t>
      </w:r>
      <w:hyperlink w:history="1" r:id="rIdcciupobeqxep4blbvu1ew">
        <w:r>
          <w:rPr>
            <w:rFonts w:ascii="Arial" w:cs="Arial" w:eastAsia="Arial" w:hAnsi="Arial"/>
            <w:color w:val="1F4E79"/>
            <w:sz w:val="18"/>
            <w:szCs w:val="18"/>
          </w:rPr>
          <w:t xml:space="preserve">https://traded.co/deals/new-york/retail/lease/53-the-circle-1/</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Traded.co, David Lewis Gallery lease, 53 The Circle (search snippet): </w:t>
      </w:r>
      <w:hyperlink w:history="1" r:id="rIdergrvznfbwib92hqo78qm">
        <w:r>
          <w:rPr>
            <w:rFonts w:ascii="Arial" w:cs="Arial" w:eastAsia="Arial" w:hAnsi="Arial"/>
            <w:color w:val="1F4E79"/>
            <w:sz w:val="18"/>
            <w:szCs w:val="18"/>
          </w:rPr>
          <w:t xml:space="preserve">https://traded.co/deals/new-york/retail/lease/53-the-circle/</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Traded.co, Warby Parker lease, 48 Main Street (search snippet): </w:t>
      </w:r>
      <w:hyperlink w:history="1" r:id="rIdhk1hcgdjhd2ykwlstu7eh">
        <w:r>
          <w:rPr>
            <w:rFonts w:ascii="Arial" w:cs="Arial" w:eastAsia="Arial" w:hAnsi="Arial"/>
            <w:color w:val="1F4E79"/>
            <w:sz w:val="18"/>
            <w:szCs w:val="18"/>
          </w:rPr>
          <w:t xml:space="preserve">https://traded.co/deals/new-york/retail/lease/48-main-street/</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HCRE, 32 Park Place, East Hampton: </w:t>
      </w:r>
      <w:hyperlink w:history="1" r:id="rId3snnk3pbl9vzi5wc9xfjp">
        <w:r>
          <w:rPr>
            <w:rFonts w:ascii="Arial" w:cs="Arial" w:eastAsia="Arial" w:hAnsi="Arial"/>
            <w:color w:val="1F4E79"/>
            <w:sz w:val="18"/>
            <w:szCs w:val="18"/>
          </w:rPr>
          <w:t xml:space="preserve">https://hamptonscommercialre.com/properties/east-hampton-village-retail-two-boutique-units-available-for-lease/</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9 Railroad Ave, East Hampton: </w:t>
      </w:r>
      <w:hyperlink w:history="1" r:id="rIdpw2doyfd39gzlhl30uood">
        <w:r>
          <w:rPr>
            <w:rFonts w:ascii="Arial" w:cs="Arial" w:eastAsia="Arial" w:hAnsi="Arial"/>
            <w:color w:val="1F4E79"/>
            <w:sz w:val="18"/>
            <w:szCs w:val="18"/>
          </w:rPr>
          <w:t xml:space="preserve">https://hamptonscommercialre.com/properties/one-of-a-kind-retail-outlet-with-character-in-east-hampton/</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70 Main Street Floor 1, Southampton: </w:t>
      </w:r>
      <w:hyperlink w:history="1" r:id="rIdwix_mddwo61yhurqhpld8">
        <w:r>
          <w:rPr>
            <w:rFonts w:ascii="Arial" w:cs="Arial" w:eastAsia="Arial" w:hAnsi="Arial"/>
            <w:color w:val="1F4E79"/>
            <w:sz w:val="18"/>
            <w:szCs w:val="18"/>
          </w:rPr>
          <w:t xml:space="preserve">https://hamptonscommercialre.com/properties/70-main-street-floor-1-southampton-retail-for-lease/</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Wainscott 900 SF Montauk Highway: </w:t>
      </w:r>
      <w:hyperlink w:history="1" r:id="rIdnfb0-chvr7gdicxspcl4h">
        <w:r>
          <w:rPr>
            <w:rFonts w:ascii="Arial" w:cs="Arial" w:eastAsia="Arial" w:hAnsi="Arial"/>
            <w:color w:val="1F4E79"/>
            <w:sz w:val="18"/>
            <w:szCs w:val="18"/>
          </w:rPr>
          <w:t xml:space="preserve">https://hamptonscommercialre.com/properties/a-rare-commercial-opportunity-at-the-crossroads-of-the-hamptons-most-prestigious-corridor/</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CityFeet, 81 Montauk Hwy, Wainscott (search snippet): </w:t>
      </w:r>
      <w:hyperlink w:history="1" r:id="rId7t6n3xqcrgoroqvkrq5uz">
        <w:r>
          <w:rPr>
            <w:rFonts w:ascii="Arial" w:cs="Arial" w:eastAsia="Arial" w:hAnsi="Arial"/>
            <w:color w:val="1F4E79"/>
            <w:sz w:val="18"/>
            <w:szCs w:val="18"/>
          </w:rPr>
          <w:t xml:space="preserve">https://www.cityfeet.com/cont/listing/81-montauk-hwy-wainscott-ny-11975/cs41480188</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BizQuest, Premier Westhampton restaurant opportunity, 62 Montauk Hwy (search snippet): </w:t>
      </w:r>
      <w:hyperlink w:history="1" r:id="rIdd0x6coqmgu26e4zngxg-u">
        <w:r>
          <w:rPr>
            <w:rFonts w:ascii="Arial" w:cs="Arial" w:eastAsia="Arial" w:hAnsi="Arial"/>
            <w:color w:val="1F4E79"/>
            <w:sz w:val="18"/>
            <w:szCs w:val="18"/>
          </w:rPr>
          <w:t xml:space="preserve">https://www.bizquest.com/real-estate-for-lease/premier-westhampton-restaurant-opportunity/BW2453378</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HCRE, 2 Main St, Sag Harbor: </w:t>
      </w:r>
      <w:hyperlink w:history="1" r:id="rIdjwvrghnmoptnah-jepeqi">
        <w:r>
          <w:rPr>
            <w:rFonts w:ascii="Arial" w:cs="Arial" w:eastAsia="Arial" w:hAnsi="Arial"/>
            <w:color w:val="1F4E79"/>
            <w:sz w:val="18"/>
            <w:szCs w:val="18"/>
          </w:rPr>
          <w:t xml:space="preserve">https://hamptonscommercialre.com/properties/high-visibility-boutique-space/</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117 Main St, Sag Harbor: </w:t>
      </w:r>
      <w:hyperlink w:history="1" r:id="rIdnhqvcenlu0wlu2rtkgikf">
        <w:r>
          <w:rPr>
            <w:rFonts w:ascii="Arial" w:cs="Arial" w:eastAsia="Arial" w:hAnsi="Arial"/>
            <w:color w:val="1F4E79"/>
            <w:sz w:val="18"/>
            <w:szCs w:val="18"/>
          </w:rPr>
          <w:t xml:space="preserve">https://hamptonscommercialre.com/properties/sag-harbor-main-street-retail/</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7 Hill St inline retail, Southampton: </w:t>
      </w:r>
      <w:hyperlink w:history="1" r:id="rIdmozasydth9lomt6ntgoud">
        <w:r>
          <w:rPr>
            <w:rFonts w:ascii="Arial" w:cs="Arial" w:eastAsia="Arial" w:hAnsi="Arial"/>
            <w:color w:val="1F4E79"/>
            <w:sz w:val="18"/>
            <w:szCs w:val="18"/>
          </w:rPr>
          <w:t xml:space="preserve">https://hamptonscommercialre.com/properties/inline-retail-store-in-southamptons-cultural-hub/</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1 Windmill Lane and 7 Hill St, Southampton: </w:t>
      </w:r>
      <w:hyperlink w:history="1" r:id="rId7xi8tciskimljo0vidtvf">
        <w:r>
          <w:rPr>
            <w:rFonts w:ascii="Arial" w:cs="Arial" w:eastAsia="Arial" w:hAnsi="Arial"/>
            <w:color w:val="1F4E79"/>
            <w:sz w:val="18"/>
            <w:szCs w:val="18"/>
          </w:rPr>
          <w:t xml:space="preserve">https://hamptonscommercialre.com/properties/1-windmill-lane-7-hill-st-southampton/</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15 Hill St Unit B, Southampton: </w:t>
      </w:r>
      <w:hyperlink w:history="1" r:id="rIdjb2pjhmat41inj1rsouuh">
        <w:r>
          <w:rPr>
            <w:rFonts w:ascii="Arial" w:cs="Arial" w:eastAsia="Arial" w:hAnsi="Arial"/>
            <w:color w:val="1F4E79"/>
            <w:sz w:val="18"/>
            <w:szCs w:val="18"/>
          </w:rPr>
          <w:t xml:space="preserve">https://hamptonscommercialre.com/properties/southampton-village-grocery-opportunity-at-15-hill-street-unit-b-southampton-ny/</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Behind the Hedges, Bar/restaurant available for lease, 87 North Rd (2024-05-18): </w:t>
      </w:r>
      <w:hyperlink w:history="1" r:id="rId7jfkvxqiqjtndpkapb4ar">
        <w:r>
          <w:rPr>
            <w:rFonts w:ascii="Arial" w:cs="Arial" w:eastAsia="Arial" w:hAnsi="Arial"/>
            <w:color w:val="1F4E79"/>
            <w:sz w:val="18"/>
            <w:szCs w:val="18"/>
          </w:rPr>
          <w:t xml:space="preserve">https://behindthehedges.com/bar-restaurant-available-lease-highly-visible/</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290 Montauk Hwy, East Hampton (sale; tax bills): </w:t>
      </w:r>
      <w:hyperlink w:history="1" r:id="rIdn5vxleitu1zjrbhy93kyd">
        <w:r>
          <w:rPr>
            <w:rFonts w:ascii="Arial" w:cs="Arial" w:eastAsia="Arial" w:hAnsi="Arial"/>
            <w:color w:val="1F4E79"/>
            <w:sz w:val="18"/>
            <w:szCs w:val="18"/>
          </w:rPr>
          <w:t xml:space="preserve">https://hamptonscommercialre.com/properties/highly-visible-restaurant-bar-on-montauk-highway-with-an-established-following/</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28 Cameron St, Southampton (sale; tax bills): </w:t>
      </w:r>
      <w:hyperlink w:history="1" r:id="rId3xe2ga4whprjlh5i9jiu7">
        <w:r>
          <w:rPr>
            <w:rFonts w:ascii="Arial" w:cs="Arial" w:eastAsia="Arial" w:hAnsi="Arial"/>
            <w:color w:val="1F4E79"/>
            <w:sz w:val="18"/>
            <w:szCs w:val="18"/>
          </w:rPr>
          <w:t xml:space="preserve">https://hamptonscommercialre.com/properties/freestanding-commercial-building-rare-vb-zoned-property-with-private-parking-in-the-southampton-village-core/</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53 N Sea Rd, Southampton (sale; tax bills): </w:t>
      </w:r>
      <w:hyperlink w:history="1" r:id="rId-c1kssvemy6fdnblztw-2">
        <w:r>
          <w:rPr>
            <w:rFonts w:ascii="Arial" w:cs="Arial" w:eastAsia="Arial" w:hAnsi="Arial"/>
            <w:color w:val="1F4E79"/>
            <w:sz w:val="18"/>
            <w:szCs w:val="18"/>
          </w:rPr>
          <w:t xml:space="preserve">https://hamptonscommercialre.com/properties/southampton-village-retail-highly-recognized-freestanding-building-for-sale/</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Sag Harbor 3,000 SF multi-structure property (tax bills): </w:t>
      </w:r>
      <w:hyperlink w:history="1" r:id="rIdwtme2v1xxlif_xplfzidk">
        <w:r>
          <w:rPr>
            <w:rFonts w:ascii="Arial" w:cs="Arial" w:eastAsia="Arial" w:hAnsi="Arial"/>
            <w:color w:val="1F4E79"/>
            <w:sz w:val="18"/>
            <w:szCs w:val="18"/>
          </w:rPr>
          <w:t xml:space="preserve">https://hamptonscommercialre.com/properties/3000sf-multi-structure-property-in-the-sag-harbor-village-office-district/</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RightSpace CRE, What are triple net (NNN) charges: </w:t>
      </w:r>
      <w:hyperlink w:history="1" r:id="rIdn-4tktv1xkvd8tloqzmig">
        <w:r>
          <w:rPr>
            <w:rFonts w:ascii="Arial" w:cs="Arial" w:eastAsia="Arial" w:hAnsi="Arial"/>
            <w:color w:val="1F4E79"/>
            <w:sz w:val="18"/>
            <w:szCs w:val="18"/>
          </w:rPr>
          <w:t xml:space="preserve">https://rightspacecre.com/blog/what-are-triple-net-nnn-charges-in-a-commercial-lease</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Patch, Gone Local goes looking for a new space (2013-05-24): </w:t>
      </w:r>
      <w:hyperlink w:history="1" r:id="rIdypgu5mzb2en3lzdjffqcq">
        <w:r>
          <w:rPr>
            <w:rFonts w:ascii="Arial" w:cs="Arial" w:eastAsia="Arial" w:hAnsi="Arial"/>
            <w:color w:val="1F4E79"/>
            <w:sz w:val="18"/>
            <w:szCs w:val="18"/>
          </w:rPr>
          <w:t xml:space="preserve">https://patch.com/new-york/easthampton/gone-local-goes-looking-for-a-new-space</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Square dance in Amagansett (2016-03-31): </w:t>
      </w:r>
      <w:hyperlink w:history="1" r:id="rIdyvbkwbekxbvn4a_4ion9l">
        <w:r>
          <w:rPr>
            <w:rFonts w:ascii="Arial" w:cs="Arial" w:eastAsia="Arial" w:hAnsi="Arial"/>
            <w:color w:val="1F4E79"/>
            <w:sz w:val="18"/>
            <w:szCs w:val="18"/>
          </w:rPr>
          <w:t xml:space="preserve">https://www.easthamptonstar.com/archive/square-dance-amagansett</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Lifestyle shops fill 'Gansett Square to capacity (2016-05-19): </w:t>
      </w:r>
      <w:hyperlink w:history="1" r:id="rIdapzef8bmtuyqulvl7ve71">
        <w:r>
          <w:rPr>
            <w:rFonts w:ascii="Arial" w:cs="Arial" w:eastAsia="Arial" w:hAnsi="Arial"/>
            <w:color w:val="1F4E79"/>
            <w:sz w:val="18"/>
            <w:szCs w:val="18"/>
          </w:rPr>
          <w:t xml:space="preserve">https://www.easthamptonstar.com/archive/lifestyle-shops-fill-gansett-square-capacity</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Hampton Chutney Co. squeezed out of Square (2021-05-27): </w:t>
      </w:r>
      <w:hyperlink w:history="1" r:id="rIdbajikby1qez84spn9t8nf">
        <w:r>
          <w:rPr>
            <w:rFonts w:ascii="Arial" w:cs="Arial" w:eastAsia="Arial" w:hAnsi="Arial"/>
            <w:color w:val="1F4E79"/>
            <w:sz w:val="18"/>
            <w:szCs w:val="18"/>
          </w:rPr>
          <w:t xml:space="preserve">https://easthamptonstar.com/villages/2021527/hampton-chutney-co-squeezed-out-square</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A marvelous new home for Hampton Chutney Co. (2021-08-12): </w:t>
      </w:r>
      <w:hyperlink w:history="1" r:id="rIdns1ioy-ltgueekuqlw9tz">
        <w:r>
          <w:rPr>
            <w:rFonts w:ascii="Arial" w:cs="Arial" w:eastAsia="Arial" w:hAnsi="Arial"/>
            <w:color w:val="1F4E79"/>
            <w:sz w:val="18"/>
            <w:szCs w:val="18"/>
          </w:rPr>
          <w:t xml:space="preserve">https://easthamptonstar.com/business-food/2021812/marvelous-new-home-hampton-chutney-co</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Adios, Coche Comedor (2025-09-25): </w:t>
      </w:r>
      <w:hyperlink w:history="1" r:id="rIdhdllfjdcoxcgn3nnghydm">
        <w:r>
          <w:rPr>
            <w:rFonts w:ascii="Arial" w:cs="Arial" w:eastAsia="Arial" w:hAnsi="Arial"/>
            <w:color w:val="1F4E79"/>
            <w:sz w:val="18"/>
            <w:szCs w:val="18"/>
          </w:rPr>
          <w:t xml:space="preserve">https://www.easthamptonstar.com/food/2025925/adios-coche-comedor</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The Real Deal, The Hamptons' new hotspots (2019-05-20): </w:t>
      </w:r>
      <w:hyperlink w:history="1" r:id="rIdv1l1kvnypdxetiqaisphi">
        <w:r>
          <w:rPr>
            <w:rFonts w:ascii="Arial" w:cs="Arial" w:eastAsia="Arial" w:hAnsi="Arial"/>
            <w:color w:val="1F4E79"/>
            <w:sz w:val="18"/>
            <w:szCs w:val="18"/>
          </w:rPr>
          <w:t xml:space="preserve">https://therealdeal.com/tristate/issues_articles/the-hamptons-new-hotspots</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Behind the Hedges, Final figure: Amagansett restaurant sells for $4.5M (2023-03-22): </w:t>
      </w:r>
      <w:hyperlink w:history="1" r:id="rIdngtfqeutgdsefbdkq1ieq">
        <w:r>
          <w:rPr>
            <w:rFonts w:ascii="Arial" w:cs="Arial" w:eastAsia="Arial" w:hAnsi="Arial"/>
            <w:color w:val="1F4E79"/>
            <w:sz w:val="18"/>
            <w:szCs w:val="18"/>
          </w:rPr>
          <w:t xml:space="preserve">https://behindthehedges.com/final-figure-amagansett-restaurant-sells-4-5m</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Dan's Papers, Highway restaurant buys Indian Wells Tavern (2020): </w:t>
      </w:r>
      <w:hyperlink w:history="1" r:id="rIdwrzmwxhd5hac5szfm2vvr">
        <w:r>
          <w:rPr>
            <w:rFonts w:ascii="Arial" w:cs="Arial" w:eastAsia="Arial" w:hAnsi="Arial"/>
            <w:color w:val="1F4E79"/>
            <w:sz w:val="18"/>
            <w:szCs w:val="18"/>
          </w:rPr>
          <w:t xml:space="preserve">https://www.danspapers.com/2020/02/highway-restaurant-buys-indian-wells-tavern</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Dan's Papers, Amagansett Main Street Tavern restaurant building for sale (2022-10-10): </w:t>
      </w:r>
      <w:hyperlink w:history="1" r:id="rIdqr6mlv7lz6deebxfeljsl">
        <w:r>
          <w:rPr>
            <w:rFonts w:ascii="Arial" w:cs="Arial" w:eastAsia="Arial" w:hAnsi="Arial"/>
            <w:color w:val="1F4E79"/>
            <w:sz w:val="18"/>
            <w:szCs w:val="18"/>
          </w:rPr>
          <w:t xml:space="preserve">https://www.danspapers.com/2022/10/amagansett-main-street-tavern-restaurant-building-for-sale</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27east, Rowdy Hall to move from East Hampton Village to Amagansett (2023): </w:t>
      </w:r>
      <w:hyperlink w:history="1" r:id="rIdqenp0leqid3-ir-9v2xnz">
        <w:r>
          <w:rPr>
            <w:rFonts w:ascii="Arial" w:cs="Arial" w:eastAsia="Arial" w:hAnsi="Arial"/>
            <w:color w:val="1F4E79"/>
            <w:sz w:val="18"/>
            <w:szCs w:val="18"/>
          </w:rPr>
          <w:t xml:space="preserve">https://27east.com/east-hampton-press/rowdy-hall-to-move-from-east-hampton-village-to-amagansett-after-summer-2159344</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Behind the Hedges, Amagansett Applied Arts building sells for $5.2M (2022-12-30): </w:t>
      </w:r>
      <w:hyperlink w:history="1" r:id="rIdvpsbdwjih6i9fra_mssaw">
        <w:r>
          <w:rPr>
            <w:rFonts w:ascii="Arial" w:cs="Arial" w:eastAsia="Arial" w:hAnsi="Arial"/>
            <w:color w:val="1F4E79"/>
            <w:sz w:val="18"/>
            <w:szCs w:val="18"/>
          </w:rPr>
          <w:t xml:space="preserve">https://behindthehedges.com/amagansett-applied-arts-building-sells-5-2-m</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East Hampton Star, Recorded deeds (2022-03-17): </w:t>
      </w:r>
      <w:hyperlink w:history="1" r:id="rIdxq2pyorvgqubc9gzxlx2j">
        <w:r>
          <w:rPr>
            <w:rFonts w:ascii="Arial" w:cs="Arial" w:eastAsia="Arial" w:hAnsi="Arial"/>
            <w:color w:val="1F4E79"/>
            <w:sz w:val="18"/>
            <w:szCs w:val="18"/>
          </w:rPr>
          <w:t xml:space="preserve">https://www.easthamptonstar.com/business/2022317/recorded-deeds-031722</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Amagansett's west end sees a business boom (2026-07-02): </w:t>
      </w:r>
      <w:hyperlink w:history="1" r:id="rIdkbhd8jnreikzb7c3i964e">
        <w:r>
          <w:rPr>
            <w:rFonts w:ascii="Arial" w:cs="Arial" w:eastAsia="Arial" w:hAnsi="Arial"/>
            <w:color w:val="1F4E79"/>
            <w:sz w:val="18"/>
            <w:szCs w:val="18"/>
          </w:rPr>
          <w:t xml:space="preserve">https://easthamptonstar.com/villages-business/202672/amagansetts-west-end-sees-business-boom</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Village going, going (1997-05-15): </w:t>
      </w:r>
      <w:hyperlink w:history="1" r:id="rIddvxc20uzf3awqkmvkzrm6">
        <w:r>
          <w:rPr>
            <w:rFonts w:ascii="Arial" w:cs="Arial" w:eastAsia="Arial" w:hAnsi="Arial"/>
            <w:color w:val="1F4E79"/>
            <w:sz w:val="18"/>
            <w:szCs w:val="18"/>
          </w:rPr>
          <w:t xml:space="preserve">https://www.easthamptonstar.com/archive/village-going-going</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The Real Deal, Retail cools in Hamptons (2009-06-02): </w:t>
      </w:r>
      <w:hyperlink w:history="1" r:id="rId8glpnektza7uuqskm2yxh">
        <w:r>
          <w:rPr>
            <w:rFonts w:ascii="Arial" w:cs="Arial" w:eastAsia="Arial" w:hAnsi="Arial"/>
            <w:color w:val="1F4E79"/>
            <w:sz w:val="18"/>
            <w:szCs w:val="18"/>
          </w:rPr>
          <w:t xml:space="preserve">https://therealdeal.com/magazine/new-york-june-2009/retail-cools-in-hamptons</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New York Times (2011), reprinted by Corcoran, seasonal store rents: </w:t>
      </w:r>
      <w:hyperlink w:history="1" r:id="rIde81wldgujyanfb3ubblpk">
        <w:r>
          <w:rPr>
            <w:rFonts w:ascii="Arial" w:cs="Arial" w:eastAsia="Arial" w:hAnsi="Arial"/>
            <w:color w:val="1F4E79"/>
            <w:sz w:val="18"/>
            <w:szCs w:val="18"/>
          </w:rPr>
          <w:t xml:space="preserve">https://www.corcoran.com/nyc/press-mention/display/12619</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27east, Pulse Points (2016-02-03): </w:t>
      </w:r>
      <w:hyperlink w:history="1" r:id="rIdjvsks0w5mhsigara_6mp7">
        <w:r>
          <w:rPr>
            <w:rFonts w:ascii="Arial" w:cs="Arial" w:eastAsia="Arial" w:hAnsi="Arial"/>
            <w:color w:val="1F4E79"/>
            <w:sz w:val="18"/>
            <w:szCs w:val="18"/>
          </w:rPr>
          <w:t xml:space="preserve">https://www.27east.com/real-estate-news/pulse-points-1407695</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The Real Deal, Fashion and furnishings lead a retail revival in Southampton (July 2017): </w:t>
      </w:r>
      <w:hyperlink w:history="1" r:id="rIdsrpxiia9bdbmrbcqkyq6i">
        <w:r>
          <w:rPr>
            <w:rFonts w:ascii="Arial" w:cs="Arial" w:eastAsia="Arial" w:hAnsi="Arial"/>
            <w:color w:val="1F4E79"/>
            <w:sz w:val="18"/>
            <w:szCs w:val="18"/>
          </w:rPr>
          <w:t xml:space="preserve">https://therealdeal.com/magazine/new-york-july-2017/fashion-and-furnishings-lead-a-retail-revival-in-southampton/</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The Real Deal, Revolving retail in the Hamptons (2019-06-03): </w:t>
      </w:r>
      <w:hyperlink w:history="1" r:id="rIdmkjexh5d4l72_qodnlh8k">
        <w:r>
          <w:rPr>
            <w:rFonts w:ascii="Arial" w:cs="Arial" w:eastAsia="Arial" w:hAnsi="Arial"/>
            <w:color w:val="1F4E79"/>
            <w:sz w:val="18"/>
            <w:szCs w:val="18"/>
          </w:rPr>
          <w:t xml:space="preserve">https://therealdeal.com/new-york/tristate/2019/06/03/revolving-retail-in-the-hamptons/</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East Hampton Star, General store: East Hampton, it's a challenge (2021-09-02): </w:t>
      </w:r>
      <w:hyperlink w:history="1" r:id="rIdfbbzxxzgdskw7-ut8m1xo">
        <w:r>
          <w:rPr>
            <w:rFonts w:ascii="Arial" w:cs="Arial" w:eastAsia="Arial" w:hAnsi="Arial"/>
            <w:color w:val="1F4E79"/>
            <w:sz w:val="18"/>
            <w:szCs w:val="18"/>
          </w:rPr>
          <w:t xml:space="preserve">https://www.easthamptonstar.com/villages/202192/general-store-east-hampton-its-challenge</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Behind the Hedges, Southampton restaurant for sale for the first time in 20 years (2022-11-08): </w:t>
      </w:r>
      <w:hyperlink w:history="1" r:id="rId7nnll489zfmvqz-8xvvvr">
        <w:r>
          <w:rPr>
            <w:rFonts w:ascii="Arial" w:cs="Arial" w:eastAsia="Arial" w:hAnsi="Arial"/>
            <w:color w:val="1F4E79"/>
            <w:sz w:val="18"/>
            <w:szCs w:val="18"/>
          </w:rPr>
          <w:t xml:space="preserve">https://behindthehedges.com/southampton-restaurant-sale-first-time-20/</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Behind the Hedges, State of the Hamptons commercial real estate market (2023-04-19): </w:t>
      </w:r>
      <w:hyperlink w:history="1" r:id="rId8jbv3xrq1ym5ryx4ph5ja">
        <w:r>
          <w:rPr>
            <w:rFonts w:ascii="Arial" w:cs="Arial" w:eastAsia="Arial" w:hAnsi="Arial"/>
            <w:color w:val="1F4E79"/>
            <w:sz w:val="18"/>
            <w:szCs w:val="18"/>
          </w:rPr>
          <w:t xml:space="preserve">https://behindthehedges.com/hamptons-commercial-real-estate-market/</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Behind the Hedges, Premier retail building in downtown Montauk (2025-09-20): </w:t>
      </w:r>
      <w:hyperlink w:history="1" r:id="rIdt4ja6shvc61upcdhqw5wa">
        <w:r>
          <w:rPr>
            <w:rFonts w:ascii="Arial" w:cs="Arial" w:eastAsia="Arial" w:hAnsi="Arial"/>
            <w:color w:val="1F4E79"/>
            <w:sz w:val="18"/>
            <w:szCs w:val="18"/>
          </w:rPr>
          <w:t xml:space="preserve">https://behindthehedges.com/premier-retail-building-downtown-montauk-10m/</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Behind the Hedges, Montauk retail plaza now cheaper (2017-03-22): </w:t>
      </w:r>
      <w:hyperlink w:history="1" r:id="rIdplmoemkpps0_wbncgf2x4">
        <w:r>
          <w:rPr>
            <w:rFonts w:ascii="Arial" w:cs="Arial" w:eastAsia="Arial" w:hAnsi="Arial"/>
            <w:color w:val="1F4E79"/>
            <w:sz w:val="18"/>
            <w:szCs w:val="18"/>
          </w:rPr>
          <w:t xml:space="preserve">https://behindthehedges.com/montauk-retail-plaza-cheaper</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Hamptons.com, Exploring the East End commercial real estate (Zwick interview, 2016-02-18): </w:t>
      </w:r>
      <w:hyperlink w:history="1" r:id="rIdmbbxzieadajrmkh9ymguu">
        <w:r>
          <w:rPr>
            <w:rFonts w:ascii="Arial" w:cs="Arial" w:eastAsia="Arial" w:hAnsi="Arial"/>
            <w:color w:val="1F4E79"/>
            <w:sz w:val="18"/>
            <w:szCs w:val="18"/>
          </w:rPr>
          <w:t xml:space="preserve">https://hamptons.com/real-estate-land-and-law-21731-exploring-the-east-end-commercial-real-estate-html/</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Corner building, $10.75 million (2016-12-01): </w:t>
      </w:r>
      <w:hyperlink w:history="1" r:id="rIdaylhxfcys6r2-da5ghixe">
        <w:r>
          <w:rPr>
            <w:rFonts w:ascii="Arial" w:cs="Arial" w:eastAsia="Arial" w:hAnsi="Arial"/>
            <w:color w:val="1F4E79"/>
            <w:sz w:val="18"/>
            <w:szCs w:val="18"/>
          </w:rPr>
          <w:t xml:space="preserve">https://www.easthamptonstar.com/archive/corner-building-1075-million</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WWD, Hamptons retail scene: what's new for summer 2026: </w:t>
      </w:r>
      <w:hyperlink w:history="1" r:id="rId5ln9spy77-5ewnp_xujtm">
        <w:r>
          <w:rPr>
            <w:rFonts w:ascii="Arial" w:cs="Arial" w:eastAsia="Arial" w:hAnsi="Arial"/>
            <w:color w:val="1F4E79"/>
            <w:sz w:val="18"/>
            <w:szCs w:val="18"/>
          </w:rPr>
          <w:t xml:space="preserve">https://wwd.com/business-news/retail/hamptons-retail-scene-whats-new-for-summer-2026-1238932696/</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The Real Deal, Not a vanity play (June 2025): </w:t>
      </w:r>
      <w:hyperlink w:history="1" r:id="rIdjfn5v7tyfiykekfgvrkwx">
        <w:r>
          <w:rPr>
            <w:rFonts w:ascii="Arial" w:cs="Arial" w:eastAsia="Arial" w:hAnsi="Arial"/>
            <w:color w:val="1F4E79"/>
            <w:sz w:val="18"/>
            <w:szCs w:val="18"/>
          </w:rPr>
          <w:t xml:space="preserve">https://therealdeal.com/magazine/june-2025/not-a-vanity-play/</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The Real Deal, What to know as Hamptons summer season begins (2026-05-25): </w:t>
      </w:r>
      <w:hyperlink w:history="1" r:id="rIdfnjuis607zxrp51ckqnly">
        <w:r>
          <w:rPr>
            <w:rFonts w:ascii="Arial" w:cs="Arial" w:eastAsia="Arial" w:hAnsi="Arial"/>
            <w:color w:val="1F4E79"/>
            <w:sz w:val="18"/>
            <w:szCs w:val="18"/>
          </w:rPr>
          <w:t xml:space="preserve">https://therealdeal.com/new-york/tristate/2026/05/25/what-to-know-as-hamptons-summer-season-begins/</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NYS Office of the State Comptroller, Local sales tax collections, first half 2026 (July 2026): </w:t>
      </w:r>
      <w:hyperlink w:history="1" r:id="rIdn9ubnrtp0wh41hfxm8adi">
        <w:r>
          <w:rPr>
            <w:rFonts w:ascii="Arial" w:cs="Arial" w:eastAsia="Arial" w:hAnsi="Arial"/>
            <w:color w:val="1F4E79"/>
            <w:sz w:val="18"/>
            <w:szCs w:val="18"/>
          </w:rPr>
          <w:t xml:space="preserve">https://www.osc.ny.gov/press/releases/2026/07/dinapoli-local-sales-tax-collections-total-127-billion-first-half-2026-68-over-last-year</w:t>
        </w:r>
      </w:hyperlink>
      <w:r>
        <w:rPr>
          <w:rFonts w:ascii="Arial" w:cs="Arial" w:eastAsia="Arial" w:hAnsi="Arial"/>
          <w:sz w:val="18"/>
          <w:szCs w:val="18"/>
        </w:rPr>
        <w:t xml:space="preserve"> (accessed 2026-10-07). Grade A.</w:t>
      </w:r>
    </w:p>
    <w:p>
      <w:pPr>
        <w:pStyle w:val="ListParagraph"/>
        <w:numPr>
          <w:ilvl w:val="0"/>
          <w:numId w:val="4"/>
        </w:numPr>
        <w:spacing w:after="70" w:line="240"/>
      </w:pPr>
      <w:r>
        <w:rPr>
          <w:rFonts w:ascii="Arial" w:cs="Arial" w:eastAsia="Arial" w:hAnsi="Arial"/>
          <w:b w:val="false"/>
          <w:bCs w:val="false"/>
          <w:sz w:val="18"/>
          <w:szCs w:val="18"/>
        </w:rPr>
        <w:t xml:space="preserve">27east, Amagansett Main Street sidewalk project (March 2026): </w:t>
      </w:r>
      <w:hyperlink w:history="1" r:id="rIdvjs5qdzx0491wvyudywy8">
        <w:r>
          <w:rPr>
            <w:rFonts w:ascii="Arial" w:cs="Arial" w:eastAsia="Arial" w:hAnsi="Arial"/>
            <w:color w:val="1F4E79"/>
            <w:sz w:val="18"/>
            <w:szCs w:val="18"/>
          </w:rPr>
          <w:t xml:space="preserve">https://www.27east.com/east-hampton-press/news/government/article_2c6df056-ba7d-486e-b086-00d254e2632f.html</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Amagansett sidewalk beautification in the works (2026-03-05): </w:t>
      </w:r>
      <w:hyperlink w:history="1" r:id="rIdik6infzxbo4pvlsuguf3i">
        <w:r>
          <w:rPr>
            <w:rFonts w:ascii="Arial" w:cs="Arial" w:eastAsia="Arial" w:hAnsi="Arial"/>
            <w:color w:val="1F4E79"/>
            <w:sz w:val="18"/>
            <w:szCs w:val="18"/>
          </w:rPr>
          <w:t xml:space="preserve">https://easthamptonstar.com/government/202635/amagansett-sidewalk-beautification-works</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NYS Department of Labor, Minimum wage: </w:t>
      </w:r>
      <w:hyperlink w:history="1" r:id="rIdsj325fydfc8hewxypqogf">
        <w:r>
          <w:rPr>
            <w:rFonts w:ascii="Arial" w:cs="Arial" w:eastAsia="Arial" w:hAnsi="Arial"/>
            <w:color w:val="1F4E79"/>
            <w:sz w:val="18"/>
            <w:szCs w:val="18"/>
          </w:rPr>
          <w:t xml:space="preserve">https://dol.ny.gov/minimum-wage-0</w:t>
        </w:r>
      </w:hyperlink>
      <w:r>
        <w:rPr>
          <w:rFonts w:ascii="Arial" w:cs="Arial" w:eastAsia="Arial" w:hAnsi="Arial"/>
          <w:sz w:val="18"/>
          <w:szCs w:val="18"/>
        </w:rPr>
        <w:t xml:space="preserve"> (accessed 2026-10-07). Grade A.</w:t>
      </w:r>
    </w:p>
    <w:p>
      <w:pPr>
        <w:pStyle w:val="ListParagraph"/>
        <w:numPr>
          <w:ilvl w:val="0"/>
          <w:numId w:val="4"/>
        </w:numPr>
        <w:spacing w:after="70" w:line="240"/>
      </w:pPr>
      <w:r>
        <w:rPr>
          <w:rFonts w:ascii="Arial" w:cs="Arial" w:eastAsia="Arial" w:hAnsi="Arial"/>
          <w:b w:val="false"/>
          <w:bCs w:val="false"/>
          <w:sz w:val="18"/>
          <w:szCs w:val="18"/>
        </w:rPr>
        <w:t xml:space="preserve">NYS Department of Labor, Fact Sheet P717 (rates 1/1/26–12/31/26): </w:t>
      </w:r>
      <w:hyperlink w:history="1" r:id="rIdaisvovzdyi8nu-odiwzm3">
        <w:r>
          <w:rPr>
            <w:rFonts w:ascii="Arial" w:cs="Arial" w:eastAsia="Arial" w:hAnsi="Arial"/>
            <w:color w:val="1F4E79"/>
            <w:sz w:val="18"/>
            <w:szCs w:val="18"/>
          </w:rPr>
          <w:t xml:space="preserve">https://dol.ny.gov/system/files/documents/2025/12/p717_12-25.pdf</w:t>
        </w:r>
      </w:hyperlink>
      <w:r>
        <w:rPr>
          <w:rFonts w:ascii="Arial" w:cs="Arial" w:eastAsia="Arial" w:hAnsi="Arial"/>
          <w:sz w:val="18"/>
          <w:szCs w:val="18"/>
        </w:rPr>
        <w:t xml:space="preserve"> (accessed 2026-10-07). Grade A.</w:t>
      </w:r>
    </w:p>
    <w:p>
      <w:pPr>
        <w:pStyle w:val="ListParagraph"/>
        <w:numPr>
          <w:ilvl w:val="0"/>
          <w:numId w:val="4"/>
        </w:numPr>
        <w:spacing w:after="70" w:line="240"/>
      </w:pPr>
      <w:r>
        <w:rPr>
          <w:rFonts w:ascii="Arial" w:cs="Arial" w:eastAsia="Arial" w:hAnsi="Arial"/>
          <w:b w:val="false"/>
          <w:bCs w:val="false"/>
          <w:sz w:val="18"/>
          <w:szCs w:val="18"/>
        </w:rPr>
        <w:t xml:space="preserve">Nation's Restaurant News, Restaurant industry faces modest growth amid cost pressures in 2026: </w:t>
      </w:r>
      <w:hyperlink w:history="1" r:id="rIdtzurkm6o0wwxid6e0gzwk">
        <w:r>
          <w:rPr>
            <w:rFonts w:ascii="Arial" w:cs="Arial" w:eastAsia="Arial" w:hAnsi="Arial"/>
            <w:color w:val="1F4E79"/>
            <w:sz w:val="18"/>
            <w:szCs w:val="18"/>
          </w:rPr>
          <w:t xml:space="preserve">https://www.nrn.com/restaurant-insights/restaurant-industry-faces-modest-growth-amid-cost-pressures-in-2026</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Diskin, Lennhoff, Parli and Roach, "Market Rent and Highest and Best Use: Joined at the Hip?", The Appraisal Journal (Appraisal Institute), Spring 2022: </w:t>
      </w:r>
      <w:hyperlink w:history="1" r:id="rId-2q8jckkwbr8ohpmkq1ld">
        <w:r>
          <w:rPr>
            <w:rFonts w:ascii="Arial" w:cs="Arial" w:eastAsia="Arial" w:hAnsi="Arial"/>
            <w:color w:val="1F4E79"/>
            <w:sz w:val="18"/>
            <w:szCs w:val="18"/>
          </w:rPr>
          <w:t xml:space="preserve">https://www.appraisalinstitute.org/getattachment/efe3dcf2-80e0-4565-97a0-9c643479e512/Market-Rent-and-Highest-and-Best-Use.pdf</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12 CFR § 323.2 (FDIC), Definitions, via Cornell LII: </w:t>
      </w:r>
      <w:hyperlink w:history="1" r:id="rIdqx_y7frhim3db5b7jm0uw">
        <w:r>
          <w:rPr>
            <w:rFonts w:ascii="Arial" w:cs="Arial" w:eastAsia="Arial" w:hAnsi="Arial"/>
            <w:color w:val="1F4E79"/>
            <w:sz w:val="18"/>
            <w:szCs w:val="18"/>
          </w:rPr>
          <w:t xml:space="preserve">https://www.law.cornell.edu/cfr/text/12/323.2</w:t>
        </w:r>
      </w:hyperlink>
      <w:r>
        <w:rPr>
          <w:rFonts w:ascii="Arial" w:cs="Arial" w:eastAsia="Arial" w:hAnsi="Arial"/>
          <w:sz w:val="18"/>
          <w:szCs w:val="18"/>
        </w:rPr>
        <w:t xml:space="preserve"> (accessed 2026-10-07). Grade A.</w:t>
      </w:r>
    </w:p>
    <w:p>
      <w:pPr>
        <w:pStyle w:val="ListParagraph"/>
        <w:numPr>
          <w:ilvl w:val="0"/>
          <w:numId w:val="4"/>
        </w:numPr>
        <w:spacing w:after="70" w:line="240"/>
      </w:pPr>
      <w:r>
        <w:rPr>
          <w:rFonts w:ascii="Arial" w:cs="Arial" w:eastAsia="Arial" w:hAnsi="Arial"/>
          <w:b w:val="false"/>
          <w:bCs w:val="false"/>
          <w:sz w:val="18"/>
          <w:szCs w:val="18"/>
        </w:rPr>
        <w:t xml:space="preserve">CompStak, Net effective rent vs. asking rent: </w:t>
      </w:r>
      <w:hyperlink w:history="1" r:id="rId4g2w-ucj3xc7dlcgcnfdk">
        <w:r>
          <w:rPr>
            <w:rFonts w:ascii="Arial" w:cs="Arial" w:eastAsia="Arial" w:hAnsi="Arial"/>
            <w:color w:val="1F4E79"/>
            <w:sz w:val="18"/>
            <w:szCs w:val="18"/>
          </w:rPr>
          <w:t xml:space="preserve">https://compstak.com/blog/net-effective-rent-vs-asking-rent-cre-underwriting</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CompStak, Retail rent concession trends: </w:t>
      </w:r>
      <w:hyperlink w:history="1" r:id="rIdf_ykucbd1x2engpieeqzs">
        <w:r>
          <w:rPr>
            <w:rFonts w:ascii="Arial" w:cs="Arial" w:eastAsia="Arial" w:hAnsi="Arial"/>
            <w:color w:val="1F4E79"/>
            <w:sz w:val="18"/>
            <w:szCs w:val="18"/>
          </w:rPr>
          <w:t xml:space="preserve">https://compstak.com/blog/retail-rent-concession-trends-compstak-lease-data</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Schuckman Realty, Nassau and Suffolk retail: a landlord's market (May 2026): </w:t>
      </w:r>
      <w:hyperlink w:history="1" r:id="rId_tbflmmbklssc03xgju6w">
        <w:r>
          <w:rPr>
            <w:rFonts w:ascii="Arial" w:cs="Arial" w:eastAsia="Arial" w:hAnsi="Arial"/>
            <w:color w:val="1F4E79"/>
            <w:sz w:val="18"/>
            <w:szCs w:val="18"/>
          </w:rPr>
          <w:t xml:space="preserve">https://www.schuckmanrealty.com/nassau-and-suffolk-retail-a-landlords-market-that-just-keeps-getting-tighter/</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27east, A new public park and parking for Amagansett (2024): </w:t>
      </w:r>
      <w:hyperlink w:history="1" r:id="rIdgkz2viywqzdvq8i4aba-b">
        <w:r>
          <w:rPr>
            <w:rFonts w:ascii="Arial" w:cs="Arial" w:eastAsia="Arial" w:hAnsi="Arial"/>
            <w:color w:val="1F4E79"/>
            <w:sz w:val="18"/>
            <w:szCs w:val="18"/>
          </w:rPr>
          <w:t xml:space="preserve">https://27east.com/east-hampton-press/a-new-public-park-and-parking-for-amagansett-2286972</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News for foodies (2026-04-16): </w:t>
      </w:r>
      <w:hyperlink w:history="1" r:id="rIdwktbwoep2aluw6i5wtla5">
        <w:r>
          <w:rPr>
            <w:rFonts w:ascii="Arial" w:cs="Arial" w:eastAsia="Arial" w:hAnsi="Arial"/>
            <w:color w:val="1F4E79"/>
            <w:sz w:val="18"/>
            <w:szCs w:val="18"/>
          </w:rPr>
          <w:t xml:space="preserve">https://www.easthamptonstar.com/food/2026416/news-foodies-041626</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27east, Wölffer Kitchen Sag Harbor's lease is up for sale (2020-02): </w:t>
      </w:r>
      <w:hyperlink w:history="1" r:id="rIdm_hvw8hvkatbyvji_er5p">
        <w:r>
          <w:rPr>
            <w:rFonts w:ascii="Arial" w:cs="Arial" w:eastAsia="Arial" w:hAnsi="Arial"/>
            <w:color w:val="1F4E79"/>
            <w:sz w:val="18"/>
            <w:szCs w:val="18"/>
          </w:rPr>
          <w:t xml:space="preserve">https://www.27east.com/food-drinks/wolffer-kitchen-sag-harbors-lease-is-up-for-sale-while-the-restaurant-remains-open-1677330</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Behind the Hedges, Historic Springs Tavern now for sale (2021-09-23): </w:t>
      </w:r>
      <w:hyperlink w:history="1" r:id="rIddjzwdxvacm8kxezn7_ssr">
        <w:r>
          <w:rPr>
            <w:rFonts w:ascii="Arial" w:cs="Arial" w:eastAsia="Arial" w:hAnsi="Arial"/>
            <w:color w:val="1F4E79"/>
            <w:sz w:val="18"/>
            <w:szCs w:val="18"/>
          </w:rPr>
          <w:t xml:space="preserve">https://behindthehedges.com/historic-springs-tavern-now-for-sale-in-east-hampton/</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HCRE, Closed deals: </w:t>
      </w:r>
      <w:hyperlink w:history="1" r:id="rId_nfmudyjno13nompsgy1b">
        <w:r>
          <w:rPr>
            <w:rFonts w:ascii="Arial" w:cs="Arial" w:eastAsia="Arial" w:hAnsi="Arial"/>
            <w:color w:val="1F4E79"/>
            <w:sz w:val="18"/>
            <w:szCs w:val="18"/>
          </w:rPr>
          <w:t xml:space="preserve">https://hamptonscommercialre.com/closed-deals/</w:t>
        </w:r>
      </w:hyperlink>
      <w:r>
        <w:rPr>
          <w:rFonts w:ascii="Arial" w:cs="Arial" w:eastAsia="Arial" w:hAnsi="Arial"/>
          <w:sz w:val="18"/>
          <w:szCs w:val="18"/>
        </w:rPr>
        <w:t xml:space="preserve"> (accessed 2026-10-07). Grade B (labels only, no data).</w:t>
      </w:r>
    </w:p>
    <w:p>
      <w:pPr>
        <w:pStyle w:val="ListParagraph"/>
        <w:numPr>
          <w:ilvl w:val="0"/>
          <w:numId w:val="4"/>
        </w:numPr>
        <w:spacing w:after="70" w:line="240"/>
      </w:pPr>
      <w:r>
        <w:rPr>
          <w:rFonts w:ascii="Arial" w:cs="Arial" w:eastAsia="Arial" w:hAnsi="Arial"/>
          <w:b w:val="false"/>
          <w:bCs w:val="false"/>
          <w:sz w:val="18"/>
          <w:szCs w:val="18"/>
        </w:rPr>
        <w:t xml:space="preserve">Social Life Magazine, Amagansett restaurants 2026: </w:t>
      </w:r>
      <w:hyperlink w:history="1" r:id="rIdpuylw2qv8g_kbadw_malt">
        <w:r>
          <w:rPr>
            <w:rFonts w:ascii="Arial" w:cs="Arial" w:eastAsia="Arial" w:hAnsi="Arial"/>
            <w:color w:val="1F4E79"/>
            <w:sz w:val="18"/>
            <w:szCs w:val="18"/>
          </w:rPr>
          <w:t xml:space="preserve">https://sociallifemagazine.com/luxury-lifestyle/amagansett-restaurants-2026/</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East Hampton Star, New lights near Amagansett's Main Street (2025-11-13): </w:t>
      </w:r>
      <w:hyperlink w:history="1" r:id="rIdigtq_tu1mwoxkkyw4ymwv">
        <w:r>
          <w:rPr>
            <w:rFonts w:ascii="Arial" w:cs="Arial" w:eastAsia="Arial" w:hAnsi="Arial"/>
            <w:color w:val="1F4E79"/>
            <w:sz w:val="18"/>
            <w:szCs w:val="18"/>
          </w:rPr>
          <w:t xml:space="preserve">https://www.easthamptonstar.com/government/20251113/new-lights-near-amagansetts-main-street</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Dan's Papers, Healthy Organic Krush (Nov 2019; search snippet): </w:t>
      </w:r>
      <w:hyperlink w:history="1" r:id="rIdo4w0zg2ywmuhvdlh0zwkg">
        <w:r>
          <w:rPr>
            <w:rFonts w:ascii="Arial" w:cs="Arial" w:eastAsia="Arial" w:hAnsi="Arial"/>
            <w:color w:val="1F4E79"/>
            <w:sz w:val="18"/>
            <w:szCs w:val="18"/>
          </w:rPr>
          <w:t xml:space="preserve">https://www.danspapers.com/2019/11/healthy-organic-krush</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Yelp, Organic Krush Kitchen &amp; Eatery, Amagansett (search snippet): </w:t>
      </w:r>
      <w:hyperlink w:history="1" r:id="rIdo6ewwgmcvbrgpqgshfye6">
        <w:r>
          <w:rPr>
            <w:rFonts w:ascii="Arial" w:cs="Arial" w:eastAsia="Arial" w:hAnsi="Arial"/>
            <w:color w:val="1F4E79"/>
            <w:sz w:val="18"/>
            <w:szCs w:val="18"/>
          </w:rPr>
          <w:t xml:space="preserve">https://www.yelp.com/biz/organic-krush-kitchen-and-eatery-amagansett</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East Hampton Star, Sea change on Amagansett Main Street (2022-09-08): </w:t>
      </w:r>
      <w:hyperlink w:history="1" r:id="rIdxwpwl2ipsercfeyyn0z61">
        <w:r>
          <w:rPr>
            <w:rFonts w:ascii="Arial" w:cs="Arial" w:eastAsia="Arial" w:hAnsi="Arial"/>
            <w:color w:val="1F4E79"/>
            <w:sz w:val="18"/>
            <w:szCs w:val="18"/>
          </w:rPr>
          <w:t xml:space="preserve">https://www.easthamptonstar.com/government/202298/sea-change-amagansett-main-street</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Town of East Hampton, Amagansett Hamlet Study implementation presentation (2017-06-03): </w:t>
      </w:r>
      <w:hyperlink w:history="1" r:id="rIdxuqdv92ls3eliloykysn3">
        <w:r>
          <w:rPr>
            <w:rFonts w:ascii="Arial" w:cs="Arial" w:eastAsia="Arial" w:hAnsi="Arial"/>
            <w:color w:val="1F4E79"/>
            <w:sz w:val="18"/>
            <w:szCs w:val="18"/>
          </w:rPr>
          <w:t xml:space="preserve">https://www.ehamptonny.gov/DocumentCenter/View/2291/Fine-Arts-Amagansett-Presentation-June-3-2017-PDF</w:t>
        </w:r>
      </w:hyperlink>
      <w:r>
        <w:rPr>
          <w:rFonts w:ascii="Arial" w:cs="Arial" w:eastAsia="Arial" w:hAnsi="Arial"/>
          <w:sz w:val="18"/>
          <w:szCs w:val="18"/>
        </w:rPr>
        <w:t xml:space="preserve"> (accessed 2026-10-07, via archived copy). Grade A.</w:t>
      </w:r>
    </w:p>
    <w:p>
      <w:pPr>
        <w:pStyle w:val="ListParagraph"/>
        <w:numPr>
          <w:ilvl w:val="0"/>
          <w:numId w:val="4"/>
        </w:numPr>
        <w:spacing w:after="70" w:line="240"/>
      </w:pPr>
      <w:r>
        <w:rPr>
          <w:rFonts w:ascii="Arial" w:cs="Arial" w:eastAsia="Arial" w:hAnsi="Arial"/>
          <w:b w:val="false"/>
          <w:bCs w:val="false"/>
          <w:sz w:val="18"/>
          <w:szCs w:val="18"/>
        </w:rPr>
        <w:t xml:space="preserve">East Hampton Star, Outdoors heading out (2012-04-18): </w:t>
      </w:r>
      <w:hyperlink w:history="1" r:id="rIdjahwznp_xtxlqnwmyvexg">
        <w:r>
          <w:rPr>
            <w:rFonts w:ascii="Arial" w:cs="Arial" w:eastAsia="Arial" w:hAnsi="Arial"/>
            <w:color w:val="1F4E79"/>
            <w:sz w:val="18"/>
            <w:szCs w:val="18"/>
          </w:rPr>
          <w:t xml:space="preserve">https://www.easthamptonstar.com/archive/outdoors-heading-out</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27east, Tenants sought for former CVS site in Bridgehampton (2015-07-21): </w:t>
      </w:r>
      <w:hyperlink w:history="1" r:id="rIdzls9lpgvcgmgigvrsazgc">
        <w:r>
          <w:rPr>
            <w:rFonts w:ascii="Arial" w:cs="Arial" w:eastAsia="Arial" w:hAnsi="Arial"/>
            <w:color w:val="1F4E79"/>
            <w:sz w:val="18"/>
            <w:szCs w:val="18"/>
          </w:rPr>
          <w:t xml:space="preserve">https://www.27east.com/real-estate-news/tenants-sought-for-former-cvs-pharmacy-site-in-bridgehampton-2-1410257/</w:t>
        </w:r>
      </w:hyperlink>
      <w:r>
        <w:rPr>
          <w:rFonts w:ascii="Arial" w:cs="Arial" w:eastAsia="Arial" w:hAnsi="Arial"/>
          <w:sz w:val="18"/>
          <w:szCs w:val="18"/>
        </w:rPr>
        <w:t xml:space="preserve"> (accessed 2026-10-07). Grade C.</w:t>
      </w:r>
    </w:p>
    <w:p>
      <w:pPr>
        <w:pStyle w:val="ListParagraph"/>
        <w:numPr>
          <w:ilvl w:val="0"/>
          <w:numId w:val="4"/>
        </w:numPr>
        <w:spacing w:after="70" w:line="240"/>
      </w:pPr>
      <w:r>
        <w:rPr>
          <w:rFonts w:ascii="Arial" w:cs="Arial" w:eastAsia="Arial" w:hAnsi="Arial"/>
          <w:b w:val="false"/>
          <w:bCs w:val="false"/>
          <w:sz w:val="18"/>
          <w:szCs w:val="18"/>
        </w:rPr>
        <w:t xml:space="preserve">Behind the Hedges, Two commercial properties in Montauk back on the market (2021-03-10): </w:t>
      </w:r>
      <w:hyperlink w:history="1" r:id="rIdcqrxtjqtbksaufe5njagj">
        <w:r>
          <w:rPr>
            <w:rFonts w:ascii="Arial" w:cs="Arial" w:eastAsia="Arial" w:hAnsi="Arial"/>
            <w:color w:val="1F4E79"/>
            <w:sz w:val="18"/>
            <w:szCs w:val="18"/>
          </w:rPr>
          <w:t xml:space="preserve">https://behindthehedges.com/two-commercial-properties-in-montauk-back-on-the-market/</w:t>
        </w:r>
      </w:hyperlink>
      <w:r>
        <w:rPr>
          <w:rFonts w:ascii="Arial" w:cs="Arial" w:eastAsia="Arial" w:hAnsi="Arial"/>
          <w:sz w:val="18"/>
          <w:szCs w:val="18"/>
        </w:rPr>
        <w:t xml:space="preserve"> (accessed 2026-10-07). Grade B.</w:t>
      </w:r>
    </w:p>
    <w:p>
      <w:pPr>
        <w:pStyle w:val="ListParagraph"/>
        <w:numPr>
          <w:ilvl w:val="0"/>
          <w:numId w:val="4"/>
        </w:numPr>
        <w:spacing w:after="70" w:line="240"/>
      </w:pPr>
      <w:r>
        <w:rPr>
          <w:rFonts w:ascii="Arial" w:cs="Arial" w:eastAsia="Arial" w:hAnsi="Arial"/>
          <w:b w:val="false"/>
          <w:bCs w:val="false"/>
          <w:sz w:val="18"/>
          <w:szCs w:val="18"/>
        </w:rPr>
        <w:t xml:space="preserve">NY Courts reporter, Panasia Estate, Inc. v Tapas y Mas, LLC, 2024 NY Slip Op 05898 (page 403; search snippet only): </w:t>
      </w:r>
      <w:hyperlink w:history="1" r:id="rId5qnlijrb6n5ji26nuq9zv">
        <w:r>
          <w:rPr>
            <w:rFonts w:ascii="Arial" w:cs="Arial" w:eastAsia="Arial" w:hAnsi="Arial"/>
            <w:color w:val="1F4E79"/>
            <w:sz w:val="18"/>
            <w:szCs w:val="18"/>
          </w:rPr>
          <w:t xml:space="preserve">https://www.nycourts.gov/reporter/3dseries/2024/2024_05898.htm</w:t>
        </w:r>
      </w:hyperlink>
      <w:r>
        <w:rPr>
          <w:rFonts w:ascii="Arial" w:cs="Arial" w:eastAsia="Arial" w:hAnsi="Arial"/>
          <w:sz w:val="18"/>
          <w:szCs w:val="18"/>
        </w:rPr>
        <w:t xml:space="preserve"> (accessed 2026-10-07). Grade D (content).</w:t>
      </w:r>
    </w:p>
    <w:p>
      <w:pPr>
        <w:pStyle w:val="ListParagraph"/>
        <w:numPr>
          <w:ilvl w:val="0"/>
          <w:numId w:val="4"/>
        </w:numPr>
        <w:spacing w:after="70" w:line="240"/>
      </w:pPr>
      <w:r>
        <w:rPr>
          <w:rFonts w:ascii="Arial" w:cs="Arial" w:eastAsia="Arial" w:hAnsi="Arial"/>
          <w:b w:val="false"/>
          <w:bCs w:val="false"/>
          <w:sz w:val="18"/>
          <w:szCs w:val="18"/>
        </w:rPr>
        <w:t xml:space="preserve">HappyCow, Organic Krush Stony Brook (listed closed; search snippet): </w:t>
      </w:r>
      <w:hyperlink w:history="1" r:id="rId9cjbve-7bxlrkrub5pwzh">
        <w:r>
          <w:rPr>
            <w:rFonts w:ascii="Arial" w:cs="Arial" w:eastAsia="Arial" w:hAnsi="Arial"/>
            <w:color w:val="1F4E79"/>
            <w:sz w:val="18"/>
            <w:szCs w:val="18"/>
          </w:rPr>
          <w:t xml:space="preserve">https://www.happycow.net/reviews/organic-krush-stony-brook-278874</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Yelp, Organic Krush New Hyde Park (listed closed; search snippet): </w:t>
      </w:r>
      <w:hyperlink w:history="1" r:id="rIdflcfqdj-9hkamwphjyoy8">
        <w:r>
          <w:rPr>
            <w:rFonts w:ascii="Arial" w:cs="Arial" w:eastAsia="Arial" w:hAnsi="Arial"/>
            <w:color w:val="1F4E79"/>
            <w:sz w:val="18"/>
            <w:szCs w:val="18"/>
          </w:rPr>
          <w:t xml:space="preserve">https://www.yelp.com/biz/organic-krush-new-hyde-park</w:t>
        </w:r>
      </w:hyperlink>
      <w:r>
        <w:rPr>
          <w:rFonts w:ascii="Arial" w:cs="Arial" w:eastAsia="Arial" w:hAnsi="Arial"/>
          <w:sz w:val="18"/>
          <w:szCs w:val="18"/>
        </w:rPr>
        <w:t xml:space="preserve"> (accessed 2026-10-07). Grade D.</w:t>
      </w:r>
    </w:p>
    <w:p>
      <w:pPr>
        <w:pStyle w:val="ListParagraph"/>
        <w:numPr>
          <w:ilvl w:val="0"/>
          <w:numId w:val="4"/>
        </w:numPr>
        <w:spacing w:after="70" w:line="240"/>
      </w:pPr>
      <w:r>
        <w:rPr>
          <w:rFonts w:ascii="Arial" w:cs="Arial" w:eastAsia="Arial" w:hAnsi="Arial"/>
          <w:b w:val="false"/>
          <w:bCs w:val="false"/>
          <w:sz w:val="18"/>
          <w:szCs w:val="18"/>
        </w:rPr>
        <w:t xml:space="preserve">East Hampton Star, Poxy: third time a charm? (2011-01-21): </w:t>
      </w:r>
      <w:hyperlink w:history="1" r:id="rId5wnj9fkidgf8vdmzfklvg">
        <w:r>
          <w:rPr>
            <w:rFonts w:ascii="Arial" w:cs="Arial" w:eastAsia="Arial" w:hAnsi="Arial"/>
            <w:color w:val="1F4E79"/>
            <w:sz w:val="18"/>
            <w:szCs w:val="18"/>
          </w:rPr>
          <w:t xml:space="preserve">https://www.easthamptonstar.com/archive/poxy-third-time-charm</w:t>
        </w:r>
      </w:hyperlink>
      <w:r>
        <w:rPr>
          <w:rFonts w:ascii="Arial" w:cs="Arial" w:eastAsia="Arial" w:hAnsi="Arial"/>
          <w:sz w:val="18"/>
          <w:szCs w:val="18"/>
        </w:rPr>
        <w:t xml:space="preserve"> (accessed 2026-10-07). Grade C.</w:t>
      </w:r>
    </w:p>
    <w:p>
      <w:pPr>
        <w:spacing w:after="120" w:before="0"/>
      </w:pPr>
    </w:p>
    <w:p>
      <w:pPr>
        <w:spacing w:after="140" w:line="276"/>
      </w:pPr>
      <w:r>
        <w:rPr>
          <w:rFonts w:ascii="Arial" w:cs="Arial" w:eastAsia="Arial" w:hAnsi="Arial"/>
          <w:b/>
          <w:bCs/>
        </w:rPr>
        <w:t xml:space="preserve">Which conclusions rest on which grades.</w:t>
      </w:r>
      <w:r>
        <w:rPr>
          <w:rFonts w:ascii="Arial" w:cs="Arial" w:eastAsia="Arial" w:hAnsi="Arial"/>
          <w:b w:val="false"/>
          <w:bCs w:val="false"/>
        </w:rPr>
        <w:t xml:space="preserve"> The </w:t>
      </w:r>
      <w:r>
        <w:rPr>
          <w:rFonts w:ascii="Arial" w:cs="Arial" w:eastAsia="Arial" w:hAnsi="Arial"/>
          <w:b/>
          <w:bCs/>
        </w:rPr>
        <w:t xml:space="preserve">core market-rent conclusion</w:t>
      </w:r>
      <w:r>
        <w:rPr>
          <w:rFonts w:ascii="Arial" w:cs="Arial" w:eastAsia="Arial" w:hAnsi="Arial"/>
          <w:b w:val="false"/>
          <w:bCs w:val="false"/>
        </w:rPr>
        <w:t xml:space="preserve"> rests on B-grade evidence: current broker listings with detailed terms [28][33][50][57][64], a broker-reported closed lease [42], and B-grade press for the 2016–2017 key-money assignment [10][13][15]. The 2021 pop-up [47] is C-grade and carries 7% weight. </w:t>
      </w:r>
      <w:r>
        <w:rPr>
          <w:rFonts w:ascii="Arial" w:cs="Arial" w:eastAsia="Arial" w:hAnsi="Arial"/>
          <w:b/>
          <w:bCs/>
        </w:rPr>
        <w:t xml:space="preserve">Subject facts</w:t>
      </w:r>
      <w:r>
        <w:rPr>
          <w:rFonts w:ascii="Arial" w:cs="Arial" w:eastAsia="Arial" w:hAnsi="Arial"/>
          <w:b w:val="false"/>
          <w:bCs w:val="false"/>
        </w:rPr>
        <w:t xml:space="preserve"> on ownership, assessment, zoning, use table and historic status rest on A-grade government records [1][2][4][5][6][7]; the 1,100 SF area rests on B and C sources [9][18]; the tax figure is D-grade [3]. </w:t>
      </w:r>
      <w:r>
        <w:rPr>
          <w:rFonts w:ascii="Arial" w:cs="Arial" w:eastAsia="Arial" w:hAnsi="Arial"/>
          <w:b/>
          <w:bCs/>
        </w:rPr>
        <w:t xml:space="preserve">No D-grade source is used as a weighted comparable or as the sole support for any figure in the conclusion.</w:t>
      </w:r>
      <w:r>
        <w:rPr>
          <w:rFonts w:ascii="Arial" w:cs="Arial" w:eastAsia="Arial" w:hAnsi="Arial"/>
          <w:b w:val="false"/>
          <w:bCs w:val="false"/>
        </w:rPr>
        <w:t xml:space="preserve"> D-grade items are used only as context or ceilings (Traded.co East Hampton leases [53][54][55], 136 Main Unit 1 terms [38], the 74A tax figure [31], Westhampton key money [61], tenant closures [129][130]) or to corroborate B-grade facts. Market-condition findings rest on A-grade (sales tax [103], wage law [106][107]), B-grade (trade press [100][101][102][108]) and C-grade (local press) sources.</w:t>
      </w:r>
    </w:p>
    <w:p>
      <w:pPr>
        <w:pStyle w:val="Heading1"/>
      </w:pPr>
      <w:bookmarkStart w:name="sec16" w:id="116"/>
      <w:r>
        <w:t xml:space="preserve">Research Limitations</w:t>
      </w:r>
      <w:bookmarkEnd w:id="116"/>
    </w:p>
    <w:p>
      <w:pPr>
        <w:keepNext w:val="false"/>
        <w:spacing w:after="140" w:line="276"/>
      </w:pPr>
      <w:r>
        <w:rPr>
          <w:rFonts w:ascii="Arial" w:cs="Arial" w:eastAsia="Arial" w:hAnsi="Arial"/>
          <w:b/>
          <w:bCs/>
        </w:rPr>
        <w:t xml:space="preserve">Blocked databases and sites.</w:t>
      </w:r>
      <w:r>
        <w:rPr>
          <w:rFonts w:ascii="Arial" w:cs="Arial" w:eastAsia="Arial" w:hAnsi="Arial"/>
          <w:b w:val="false"/>
          <w:bCs w:val="false"/>
        </w:rPr>
        <w:t xml:space="preserve"> LoopNet, Crexi, CityFeet, Showcase, Realmo, CommercialCafe, PropertyShark (direct download), Traded.co, BizBuySell and BizQuest returned HTTP 403 to automated access; their figures appear only as search snippets and are graded D. The Wayback Machine's CDX search was blocked by the egress proxy, its availability endpoint returned no snapshot for the 2016 Elliman listing of the subject, and no archived listing captures could be retrieved. ecode360 (Town Code) and Town of East Hampton PDFs returned 403; Town documents were read from archived copies where available. NY Courts, Yelp, Toast and BLS pages were also blocked.</w:t>
      </w:r>
    </w:p>
    <w:p>
      <w:pPr>
        <w:keepNext w:val="false"/>
        <w:spacing w:after="140" w:line="276"/>
      </w:pPr>
      <w:r>
        <w:rPr>
          <w:rFonts w:ascii="Arial" w:cs="Arial" w:eastAsia="Arial" w:hAnsi="Arial"/>
          <w:b/>
          <w:bCs/>
        </w:rPr>
        <w:t xml:space="preserve">No executed Amagansett rents.</w:t>
      </w:r>
      <w:r>
        <w:rPr>
          <w:rFonts w:ascii="Arial" w:cs="Arial" w:eastAsia="Arial" w:hAnsi="Arial"/>
          <w:b w:val="false"/>
          <w:bCs w:val="false"/>
        </w:rPr>
        <w:t xml:space="preserve"> No executed Amagansett commercial rent is public for 2014–2026. The single closed food-service lease in the 11930 ZIP (2095 Montauk Highway) is broker-reported and flagged "Unverified" [42]. The conclusion therefore relies on adjusted asking rents, which carry an assumed 5–10% ask-to-achieved discount.</w:t>
      </w:r>
    </w:p>
    <w:p>
      <w:pPr>
        <w:keepNext w:val="false"/>
        <w:spacing w:after="140" w:line="276"/>
      </w:pPr>
      <w:r>
        <w:rPr>
          <w:rFonts w:ascii="Arial" w:cs="Arial" w:eastAsia="Arial" w:hAnsi="Arial"/>
          <w:b/>
          <w:bCs/>
        </w:rPr>
        <w:t xml:space="preserve">Subject data gaps.</w:t>
      </w:r>
      <w:r>
        <w:rPr>
          <w:rFonts w:ascii="Arial" w:cs="Arial" w:eastAsia="Arial" w:hAnsi="Arial"/>
          <w:b w:val="false"/>
          <w:bCs w:val="false"/>
        </w:rPr>
        <w:t xml:space="preserve"> The 1,100 SF area is unverified by any government record. Lease type, expense responsibilities, term, escalations, options, repair allocation and guaranty are Unknown. Whether today's lease is the one assigned in 2017 is Unknown. HVAC, basement, frontage, seat count, certificate of occupancy, year built and current condition are Unknown, and the CB zoning of the parcel is inferred rather than confirmed on a zoning map.</w:t>
      </w:r>
    </w:p>
    <w:p>
      <w:pPr>
        <w:keepNext w:val="false"/>
        <w:spacing w:after="140" w:line="276"/>
      </w:pPr>
      <w:r>
        <w:rPr>
          <w:rFonts w:ascii="Arial" w:cs="Arial" w:eastAsia="Arial" w:hAnsi="Arial"/>
          <w:b/>
          <w:bCs/>
        </w:rPr>
        <w:t xml:space="preserve">No paid data.</w:t>
      </w:r>
      <w:r>
        <w:rPr>
          <w:rFonts w:ascii="Arial" w:cs="Arial" w:eastAsia="Arial" w:hAnsi="Arial"/>
          <w:b w:val="false"/>
          <w:bCs w:val="false"/>
        </w:rPr>
        <w:t xml:space="preserve"> No CoStar, CompStak, Reonomy or broker lease-comparable database was available. No Amagansett pedestrian counts or Hamptons-specific asking-to-executed spread statistics exist in public sources.</w:t>
      </w:r>
    </w:p>
    <w:p>
      <w:pPr>
        <w:keepNext/>
        <w:spacing w:after="140" w:line="276"/>
      </w:pPr>
      <w:r>
        <w:rPr>
          <w:rFonts w:ascii="Arial" w:cs="Arial" w:eastAsia="Arial" w:hAnsi="Arial"/>
          <w:b/>
          <w:bCs/>
        </w:rPr>
        <w:t xml:space="preserve">Conflicting figures flagged.</w:t>
      </w:r>
    </w:p>
    <w:p>
      <w:pPr>
        <w:pStyle w:val="ListParagraph"/>
        <w:numPr>
          <w:ilvl w:val="0"/>
          <w:numId w:val="3"/>
        </w:numPr>
        <w:spacing w:after="100" w:line="276"/>
      </w:pPr>
      <w:r>
        <w:rPr>
          <w:rFonts w:ascii="Arial" w:cs="Arial" w:eastAsia="Arial" w:hAnsi="Arial"/>
          <w:b w:val="false"/>
          <w:bCs w:val="false"/>
        </w:rPr>
        <w:t xml:space="preserve">Behind the Hedges and Dan's Papers printed the subject's address as "270 Main Street," an evident typo; all other sources and the listing link give 207 [11][12].</w:t>
      </w:r>
    </w:p>
    <w:p>
      <w:pPr>
        <w:pStyle w:val="ListParagraph"/>
        <w:numPr>
          <w:ilvl w:val="0"/>
          <w:numId w:val="3"/>
        </w:numPr>
        <w:spacing w:after="100" w:line="276"/>
      </w:pPr>
      <w:r>
        <w:rPr>
          <w:rFonts w:ascii="Arial" w:cs="Arial" w:eastAsia="Arial" w:hAnsi="Arial"/>
          <w:b w:val="false"/>
          <w:bCs w:val="false"/>
        </w:rPr>
        <w:t xml:space="preserve">The key-money ask is reported as $625,000 by 27east [15] and $575,000 by Behind the Hedges [13]; the closing price is undisclosed.</w:t>
      </w:r>
    </w:p>
    <w:p>
      <w:pPr>
        <w:pStyle w:val="ListParagraph"/>
        <w:numPr>
          <w:ilvl w:val="0"/>
          <w:numId w:val="3"/>
        </w:numPr>
        <w:spacing w:after="100" w:line="276"/>
      </w:pPr>
      <w:r>
        <w:rPr>
          <w:rFonts w:ascii="Arial" w:cs="Arial" w:eastAsia="Arial" w:hAnsi="Arial"/>
          <w:b w:val="false"/>
          <w:bCs w:val="false"/>
        </w:rPr>
        <w:t xml:space="preserve">7 Hill St carries two rents: $71.35/SF on its unit page versus $90.81/SF implied on the combined-unit page [64][65]. This report uses the lower figure.</w:t>
      </w:r>
    </w:p>
    <w:p>
      <w:pPr>
        <w:pStyle w:val="ListParagraph"/>
        <w:numPr>
          <w:ilvl w:val="0"/>
          <w:numId w:val="3"/>
        </w:numPr>
        <w:spacing w:after="100" w:line="276"/>
      </w:pPr>
      <w:r>
        <w:rPr>
          <w:rFonts w:ascii="Arial" w:cs="Arial" w:eastAsia="Arial" w:hAnsi="Arial"/>
          <w:b w:val="false"/>
          <w:bCs w:val="false"/>
        </w:rPr>
        <w:t xml:space="preserve">2095 Montauk Highway's closed price is flagged "Unverified" by Compass, and its page header displays "$180,000/mo" against "$180,000/yr" in the listing text [42].</w:t>
      </w:r>
    </w:p>
    <w:p>
      <w:pPr>
        <w:pStyle w:val="ListParagraph"/>
        <w:numPr>
          <w:ilvl w:val="0"/>
          <w:numId w:val="3"/>
        </w:numPr>
        <w:spacing w:after="100" w:line="276"/>
      </w:pPr>
      <w:r>
        <w:rPr>
          <w:rFonts w:ascii="Arial" w:cs="Arial" w:eastAsia="Arial" w:hAnsi="Arial"/>
          <w:b w:val="false"/>
          <w:bCs w:val="false"/>
        </w:rPr>
        <w:t xml:space="preserve">The broker's name appears as both "Robert" and "Richard" Kohr [10][12].</w:t>
      </w:r>
    </w:p>
    <w:p>
      <w:pPr>
        <w:pStyle w:val="ListParagraph"/>
        <w:numPr>
          <w:ilvl w:val="0"/>
          <w:numId w:val="3"/>
        </w:numPr>
        <w:spacing w:after="100" w:line="276"/>
      </w:pPr>
      <w:r>
        <w:rPr>
          <w:rFonts w:ascii="Arial" w:cs="Arial" w:eastAsia="Arial" w:hAnsi="Arial"/>
          <w:b w:val="false"/>
          <w:bCs w:val="false"/>
        </w:rPr>
        <w:t xml:space="preserve">62 Montauk Highway's size and parking conflict between sources [61].</w:t>
      </w:r>
    </w:p>
    <w:p>
      <w:pPr>
        <w:pStyle w:val="ListParagraph"/>
        <w:numPr>
          <w:ilvl w:val="0"/>
          <w:numId w:val="3"/>
        </w:numPr>
        <w:spacing w:after="100" w:line="276"/>
      </w:pPr>
      <w:r>
        <w:rPr>
          <w:rFonts w:ascii="Arial" w:cs="Arial" w:eastAsia="Arial" w:hAnsi="Arial"/>
          <w:b w:val="false"/>
          <w:bCs w:val="false"/>
        </w:rPr>
        <w:t xml:space="preserve">249 Main Street's "50K" has no stated basis [47].</w:t>
      </w:r>
    </w:p>
    <w:p>
      <w:pPr>
        <w:spacing w:after="60" w:before="0"/>
      </w:pPr>
    </w:p>
    <w:p>
      <w:pPr>
        <w:keepNext w:val="false"/>
        <w:spacing w:after="140" w:line="276"/>
      </w:pPr>
      <w:r>
        <w:rPr>
          <w:rFonts w:ascii="Arial" w:cs="Arial" w:eastAsia="Arial" w:hAnsi="Arial"/>
          <w:b/>
          <w:bCs/>
        </w:rPr>
        <w:t xml:space="preserve">Assumptions that drive the result.</w:t>
      </w:r>
      <w:r>
        <w:rPr>
          <w:rFonts w:ascii="Arial" w:cs="Arial" w:eastAsia="Arial" w:hAnsi="Arial"/>
          <w:b w:val="false"/>
          <w:bCs w:val="false"/>
        </w:rPr>
        <w:t xml:space="preserve"> The $7.00/SF NNN load (insurance and maintenance components unsourced), the 0.15 size elasticity, the 50% non-equipment share of key money, the 10-year key-money amortization, the 0.71 seasonal factor, the 5–10% ask-to-achieved discount and the comparable weights are all appraiser judgments. They are stated so that a reviewer can substitute alternatives; the robustness test moves the weighted result between about $62.60 and $68.40.</w:t>
      </w:r>
    </w:p>
    <w:p>
      <w:pPr>
        <w:keepNext/>
        <w:spacing w:after="140" w:line="276"/>
      </w:pPr>
      <w:r>
        <w:rPr>
          <w:rFonts w:ascii="Arial" w:cs="Arial" w:eastAsia="Arial" w:hAnsi="Arial"/>
          <w:b/>
          <w:bCs/>
        </w:rPr>
        <w:t xml:space="preserve">Recommended next steps, in order of value.</w:t>
      </w:r>
    </w:p>
    <w:p>
      <w:pPr>
        <w:pStyle w:val="ListParagraph"/>
        <w:numPr>
          <w:ilvl w:val="0"/>
          <w:numId w:val="5"/>
        </w:numPr>
        <w:spacing w:after="100" w:line="276"/>
      </w:pPr>
      <w:r>
        <w:rPr>
          <w:rFonts w:ascii="Arial" w:cs="Arial" w:eastAsia="Arial" w:hAnsi="Arial"/>
          <w:b w:val="false"/>
          <w:bCs w:val="false"/>
        </w:rPr>
        <w:t xml:space="preserve">Pull the </w:t>
      </w:r>
      <w:r>
        <w:rPr>
          <w:rFonts w:ascii="Arial" w:cs="Arial" w:eastAsia="Arial" w:hAnsi="Arial"/>
          <w:b/>
          <w:bCs/>
        </w:rPr>
        <w:t xml:space="preserve">landlord's own lease file</w:t>
      </w:r>
      <w:r>
        <w:rPr>
          <w:rFonts w:ascii="Arial" w:cs="Arial" w:eastAsia="Arial" w:hAnsi="Arial"/>
          <w:b w:val="false"/>
          <w:bCs w:val="false"/>
        </w:rPr>
        <w:t xml:space="preserve"> to confirm lease type, expense allocation, term, escalations, renewal or reset clauses, and whether the current lease is the 2017 assigned lease.</w:t>
      </w:r>
    </w:p>
    <w:p>
      <w:pPr>
        <w:pStyle w:val="ListParagraph"/>
        <w:numPr>
          <w:ilvl w:val="0"/>
          <w:numId w:val="5"/>
        </w:numPr>
        <w:spacing w:after="100" w:line="276"/>
      </w:pPr>
      <w:r>
        <w:rPr>
          <w:rFonts w:ascii="Arial" w:cs="Arial" w:eastAsia="Arial" w:hAnsi="Arial"/>
          <w:b w:val="false"/>
          <w:bCs w:val="false"/>
        </w:rPr>
        <w:t xml:space="preserve">Obtain the </w:t>
      </w:r>
      <w:r>
        <w:rPr>
          <w:rFonts w:ascii="Arial" w:cs="Arial" w:eastAsia="Arial" w:hAnsi="Arial"/>
          <w:b/>
          <w:bCs/>
        </w:rPr>
        <w:t xml:space="preserve">Town assessor property record card and certificate of occupancy</w:t>
      </w:r>
      <w:r>
        <w:rPr>
          <w:rFonts w:ascii="Arial" w:cs="Arial" w:eastAsia="Arial" w:hAnsi="Arial"/>
          <w:b w:val="false"/>
          <w:bCs w:val="false"/>
        </w:rPr>
        <w:t xml:space="preserve"> for 300-171-1-18 (building area, year built, approved seats, permitted use) and confirm CB zoning on the Town zoning map.</w:t>
      </w:r>
    </w:p>
    <w:p>
      <w:pPr>
        <w:pStyle w:val="ListParagraph"/>
        <w:numPr>
          <w:ilvl w:val="0"/>
          <w:numId w:val="5"/>
        </w:numPr>
        <w:spacing w:after="100" w:line="276"/>
      </w:pPr>
      <w:r>
        <w:rPr>
          <w:rFonts w:ascii="Arial" w:cs="Arial" w:eastAsia="Arial" w:hAnsi="Arial"/>
          <w:b/>
          <w:bCs/>
        </w:rPr>
        <w:t xml:space="preserve">Measure the premises</w:t>
      </w:r>
      <w:r>
        <w:rPr>
          <w:rFonts w:ascii="Arial" w:cs="Arial" w:eastAsia="Arial" w:hAnsi="Arial"/>
          <w:b w:val="false"/>
          <w:bCs w:val="false"/>
        </w:rPr>
        <w:t xml:space="preserve"> (gross and usable SF, patio and storage separately).</w:t>
      </w:r>
    </w:p>
    <w:p>
      <w:pPr>
        <w:pStyle w:val="ListParagraph"/>
        <w:numPr>
          <w:ilvl w:val="0"/>
          <w:numId w:val="5"/>
        </w:numPr>
        <w:spacing w:after="100" w:line="276"/>
      </w:pPr>
      <w:r>
        <w:rPr>
          <w:rFonts w:ascii="Arial" w:cs="Arial" w:eastAsia="Arial" w:hAnsi="Arial"/>
          <w:b w:val="false"/>
          <w:bCs w:val="false"/>
        </w:rPr>
        <w:t xml:space="preserve">Search the </w:t>
      </w:r>
      <w:r>
        <w:rPr>
          <w:rFonts w:ascii="Arial" w:cs="Arial" w:eastAsia="Arial" w:hAnsi="Arial"/>
          <w:b/>
          <w:bCs/>
        </w:rPr>
        <w:t xml:space="preserve">Suffolk County Clerk</w:t>
      </w:r>
      <w:r>
        <w:rPr>
          <w:rFonts w:ascii="Arial" w:cs="Arial" w:eastAsia="Arial" w:hAnsi="Arial"/>
          <w:b w:val="false"/>
          <w:bCs w:val="false"/>
        </w:rPr>
        <w:t xml:space="preserve"> for any recorded memorandum of lease for 207 Main Street and for Amagansett restaurant leases (terms over three years may be recorded).</w:t>
      </w:r>
    </w:p>
    <w:p>
      <w:pPr>
        <w:pStyle w:val="ListParagraph"/>
        <w:numPr>
          <w:ilvl w:val="0"/>
          <w:numId w:val="5"/>
        </w:numPr>
        <w:spacing w:after="100" w:line="276"/>
      </w:pPr>
      <w:r>
        <w:rPr>
          <w:rFonts w:ascii="Arial" w:cs="Arial" w:eastAsia="Arial" w:hAnsi="Arial"/>
          <w:b w:val="false"/>
          <w:bCs w:val="false"/>
        </w:rPr>
        <w:t xml:space="preserve">Ask </w:t>
      </w:r>
      <w:r>
        <w:rPr>
          <w:rFonts w:ascii="Arial" w:cs="Arial" w:eastAsia="Arial" w:hAnsi="Arial"/>
          <w:b/>
          <w:bCs/>
        </w:rPr>
        <w:t xml:space="preserve">Douglas Elliman</w:t>
      </w:r>
      <w:r>
        <w:rPr>
          <w:rFonts w:ascii="Arial" w:cs="Arial" w:eastAsia="Arial" w:hAnsi="Arial"/>
          <w:b w:val="false"/>
          <w:bCs w:val="false"/>
        </w:rPr>
        <w:t xml:space="preserve"> (Robert Kohr, Lori MacGarva) for the 2017 transaction file, and ask HCRE for the rent behind its "Napeague Stretch Wet Use" and "East Hampton Wet Use" closed deals [118].</w:t>
      </w:r>
    </w:p>
    <w:p>
      <w:pPr>
        <w:pStyle w:val="ListParagraph"/>
        <w:numPr>
          <w:ilvl w:val="0"/>
          <w:numId w:val="5"/>
        </w:numPr>
        <w:spacing w:after="100" w:line="276"/>
      </w:pPr>
      <w:r>
        <w:rPr>
          <w:rFonts w:ascii="Arial" w:cs="Arial" w:eastAsia="Arial" w:hAnsi="Arial"/>
          <w:b w:val="false"/>
          <w:bCs w:val="false"/>
        </w:rPr>
        <w:t xml:space="preserve">Purchase a </w:t>
      </w:r>
      <w:r>
        <w:rPr>
          <w:rFonts w:ascii="Arial" w:cs="Arial" w:eastAsia="Arial" w:hAnsi="Arial"/>
          <w:b/>
          <w:bCs/>
        </w:rPr>
        <w:t xml:space="preserve">CoStar or CompStak</w:t>
      </w:r>
      <w:r>
        <w:rPr>
          <w:rFonts w:ascii="Arial" w:cs="Arial" w:eastAsia="Arial" w:hAnsi="Arial"/>
          <w:b w:val="false"/>
          <w:bCs w:val="false"/>
        </w:rPr>
        <w:t xml:space="preserve"> lease-comparable pull for the South Fork, food-service, 2022–2026.</w:t>
      </w:r>
    </w:p>
    <w:p>
      <w:pPr>
        <w:pStyle w:val="ListParagraph"/>
        <w:numPr>
          <w:ilvl w:val="0"/>
          <w:numId w:val="5"/>
        </w:numPr>
        <w:spacing w:after="100" w:line="276"/>
      </w:pPr>
      <w:r>
        <w:rPr>
          <w:rFonts w:ascii="Arial" w:cs="Arial" w:eastAsia="Arial" w:hAnsi="Arial"/>
          <w:b w:val="false"/>
          <w:bCs w:val="false"/>
        </w:rPr>
        <w:t xml:space="preserve">Commission a </w:t>
      </w:r>
      <w:r>
        <w:rPr>
          <w:rFonts w:ascii="Arial" w:cs="Arial" w:eastAsia="Arial" w:hAnsi="Arial"/>
          <w:b/>
          <w:bCs/>
        </w:rPr>
        <w:t xml:space="preserve">site inspection</w:t>
      </w:r>
      <w:r>
        <w:rPr>
          <w:rFonts w:ascii="Arial" w:cs="Arial" w:eastAsia="Arial" w:hAnsi="Arial"/>
          <w:b w:val="false"/>
          <w:bCs w:val="false"/>
        </w:rPr>
        <w:t xml:space="preserve"> documenting building condition, kitchen infrastructure (hood, grease trap, septic), HVAC and the frontage, and confirming which side of Main Street the 2026 sidewalk work affected.</w:t>
      </w:r>
    </w:p>
    <w:p>
      <w:pPr>
        <w:spacing w:after="60" w:before="0"/>
      </w:pPr>
    </w:p>
    <w:p>
      <w:pPr>
        <w:pStyle w:val="Heading1"/>
        <w:pageBreakBefore/>
      </w:pPr>
      <w:bookmarkStart w:name="sec17" w:id="117"/>
      <w:r>
        <w:t xml:space="preserve">Market Rent Conclusion</w:t>
      </w:r>
      <w:bookmarkEnd w:id="117"/>
    </w:p>
    <w:p>
      <w:pPr>
        <w:spacing w:after="160" w:line="276"/>
      </w:pPr>
      <w:r>
        <w:rPr>
          <w:rFonts w:ascii="Arial" w:cs="Arial" w:eastAsia="Arial" w:hAnsi="Arial"/>
          <w:b w:val="false"/>
          <w:bCs w:val="false"/>
          <w:color w:val="595959"/>
          <w:sz w:val="19"/>
          <w:szCs w:val="19"/>
        </w:rPr>
        <w:t xml:space="preserve">Landlord decision page. Figures are ESTIMATES from the reconciled comparable analysis in this memorandum; NNN base rent at 1,100 SF unless stated.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cantSplit/>
        </w:trPr>
        <w:tc>
          <w:tcPr>
            <w:tcW w:type="dxa" w:w="10080"/>
            <w:gridSpan w:val="2"/>
            <w:tcBorders>
              <w:top w:val="single" w:color="1F3864" w:sz="6"/>
              <w:left w:val="single" w:color="1F3864" w:sz="6"/>
              <w:bottom w:val="single" w:color="1F3864" w:sz="6"/>
              <w:right w:val="single" w:color="1F3864" w:sz="6"/>
            </w:tcBorders>
            <w:shd w:fill="1F3864" w:color="auto" w:val="clear"/>
            <w:tcMar>
              <w:top w:type="dxa" w:w="80"/>
              <w:left w:type="dxa" w:w="140"/>
              <w:bottom w:type="dxa" w:w="80"/>
              <w:right w:type="dxa" w:w="140"/>
            </w:tcMar>
            <w:vAlign w:val="center"/>
          </w:tcPr>
          <w:p>
            <w:pPr>
              <w:spacing w:after="0" w:before="0" w:line="252"/>
            </w:pPr>
            <w:r>
              <w:rPr>
                <w:rFonts w:ascii="Arial" w:cs="Arial" w:eastAsia="Arial" w:hAnsi="Arial"/>
                <w:b/>
                <w:bCs/>
                <w:color w:val="FFFFFF"/>
                <w:sz w:val="21"/>
                <w:szCs w:val="21"/>
              </w:rPr>
              <w:t xml:space="preserve">MARKET RENT CONCLUSION</w:t>
            </w:r>
          </w:p>
        </w:tc>
      </w:tr>
      <w:tr>
        <w:trPr>
          <w:cantSplit/>
        </w:trPr>
        <w:tc>
          <w:tcPr>
            <w:tcW w:type="dxa" w:w="3629"/>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Estimated market rent</w:t>
            </w:r>
          </w:p>
        </w:tc>
        <w:tc>
          <w:tcPr>
            <w:tcW w:type="dxa" w:w="6451"/>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$60–$72/SF/year (NNN base rent)</w:t>
            </w:r>
          </w:p>
        </w:tc>
      </w:tr>
      <w:tr>
        <w:trPr>
          <w:cantSplit/>
        </w:trPr>
        <w:tc>
          <w:tcPr>
            <w:tcW w:type="dxa" w:w="3629"/>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Estimated monthly market rent</w:t>
            </w:r>
          </w:p>
        </w:tc>
        <w:tc>
          <w:tcPr>
            <w:tcW w:type="dxa" w:w="6451"/>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$5,500–$6,600/month</w:t>
            </w:r>
          </w:p>
        </w:tc>
      </w:tr>
      <w:tr>
        <w:trPr>
          <w:cantSplit/>
        </w:trPr>
        <w:tc>
          <w:tcPr>
            <w:tcW w:type="dxa" w:w="3629"/>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Best-supported midpoint</w:t>
            </w:r>
          </w:p>
        </w:tc>
        <w:tc>
          <w:tcPr>
            <w:tcW w:type="dxa" w:w="6451"/>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$6,050/month</w:t>
            </w:r>
          </w:p>
        </w:tc>
      </w:tr>
      <w:tr>
        <w:trPr>
          <w:cantSplit/>
        </w:trPr>
        <w:tc>
          <w:tcPr>
            <w:tcW w:type="dxa" w:w="3629"/>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Current rent</w:t>
            </w:r>
          </w:p>
        </w:tc>
        <w:tc>
          <w:tcPr>
            <w:tcW w:type="dxa" w:w="6451"/>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$5,000/month</w:t>
            </w:r>
          </w:p>
        </w:tc>
      </w:tr>
      <w:tr>
        <w:trPr>
          <w:cantSplit/>
        </w:trPr>
        <w:tc>
          <w:tcPr>
            <w:tcW w:type="dxa" w:w="3629"/>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Current discount/premium to market</w:t>
            </w:r>
          </w:p>
        </w:tc>
        <w:tc>
          <w:tcPr>
            <w:tcW w:type="dxa" w:w="6451"/>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17% discount (current rent is about 17% below the $6,050 midpoint; about 9% below the low end)</w:t>
            </w:r>
          </w:p>
        </w:tc>
      </w:tr>
      <w:tr>
        <w:trPr>
          <w:cantSplit/>
        </w:trPr>
        <w:tc>
          <w:tcPr>
            <w:tcW w:type="dxa" w:w="3629"/>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Recommended landlord negotiating position</w:t>
            </w:r>
          </w:p>
        </w:tc>
        <w:tc>
          <w:tcPr>
            <w:tcW w:type="dxa" w:w="6451"/>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$6,050/month (reset target at renewal; no permanent reduction below $5,000 in the interim)</w:t>
            </w:r>
          </w:p>
        </w:tc>
      </w:tr>
      <w:tr>
        <w:trPr>
          <w:cantSplit/>
        </w:trPr>
        <w:tc>
          <w:tcPr>
            <w:tcW w:type="dxa" w:w="3629"/>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Minimum market-supported position</w:t>
            </w:r>
          </w:p>
        </w:tc>
        <w:tc>
          <w:tcPr>
            <w:tcW w:type="dxa" w:w="6451"/>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$5,500/month</w:t>
            </w:r>
          </w:p>
        </w:tc>
      </w:tr>
      <w:tr>
        <w:trPr>
          <w:cantSplit/>
        </w:trPr>
        <w:tc>
          <w:tcPr>
            <w:tcW w:type="dxa" w:w="3629"/>
            <w:tcBorders>
              <w:top w:val="single" w:color="1F3864" w:sz="6"/>
              <w:left w:val="single" w:color="1F3864" w:sz="6"/>
              <w:bottom w:val="single" w:color="1F3864" w:sz="6"/>
              <w:right w:val="single" w:color="1F3864" w:sz="6"/>
            </w:tcBorders>
            <w:shd w:fill="DCE6F2" w:color="auto" w:val="clear"/>
            <w:tcMar>
              <w:top w:type="dxa" w:w="80"/>
              <w:left w:type="dxa" w:w="140"/>
              <w:bottom w:type="dxa" w:w="80"/>
              <w:right w:type="dxa" w:w="140"/>
            </w:tcMar>
            <w:vAlign w:val="center"/>
          </w:tcPr>
          <w:p>
            <w:pPr>
              <w:spacing w:after="0" w:before="0" w:line="252"/>
            </w:pPr>
            <w:r>
              <w:rPr>
                <w:rFonts w:ascii="Arial" w:cs="Arial" w:eastAsia="Arial" w:hAnsi="Arial"/>
                <w:b/>
                <w:bCs/>
                <w:color w:val="1F3864"/>
                <w:sz w:val="19"/>
                <w:szCs w:val="19"/>
              </w:rPr>
              <w:t xml:space="preserve">Confidence level</w:t>
            </w:r>
          </w:p>
        </w:tc>
        <w:tc>
          <w:tcPr>
            <w:tcW w:type="dxa" w:w="6451"/>
            <w:tcBorders>
              <w:top w:val="single" w:color="1F3864" w:sz="6"/>
              <w:left w:val="single" w:color="1F3864" w:sz="6"/>
              <w:bottom w:val="single" w:color="1F3864" w:sz="6"/>
              <w:right w:val="single" w:color="1F3864" w:sz="6"/>
            </w:tcBorders>
            <w:shd w:fill="F4F7FB" w:color="auto" w:val="clear"/>
            <w:tcMar>
              <w:top w:type="dxa" w:w="80"/>
              <w:left w:type="dxa" w:w="140"/>
              <w:bottom w:type="dxa" w:w="80"/>
              <w:right w:type="dxa" w:w="140"/>
            </w:tcMar>
            <w:vAlign w:val="center"/>
          </w:tcPr>
          <w:p>
            <w:pPr>
              <w:spacing w:after="0" w:before="0" w:line="252"/>
            </w:pPr>
            <w:r>
              <w:rPr>
                <w:rFonts w:ascii="Arial" w:cs="Arial" w:eastAsia="Arial" w:hAnsi="Arial"/>
                <w:b w:val="false"/>
                <w:bCs w:val="false"/>
                <w:sz w:val="19"/>
                <w:szCs w:val="19"/>
              </w:rPr>
              <w:t xml:space="preserve">Low (no executed Amagansett rent is public, and the 1,100 SF area and the lease type are unverified; the direction of the finding is better supported than its size)</w:t>
            </w:r>
          </w:p>
        </w:tc>
      </w:tr>
    </w:tbl>
    <w:p>
      <w:pPr>
        <w:spacing w:after="240" w:before="0"/>
      </w:pPr>
    </w:p>
    <w:p>
      <w:pPr>
        <w:spacing w:after="160" w:line="276"/>
      </w:pPr>
      <w:r>
        <w:rPr>
          <w:rFonts w:ascii="Arial" w:cs="Arial" w:eastAsia="Arial" w:hAnsi="Arial"/>
          <w:b/>
          <w:bCs/>
        </w:rPr>
        <w:t xml:space="preserve">Would an independent commercial real estate broker or appraiser likely view $5,000/month as below-market, assuming the verified property characteristics?</w:t>
      </w:r>
      <w:r>
        <w:rPr>
          <w:rFonts w:ascii="Arial" w:cs="Arial" w:eastAsia="Arial" w:hAnsi="Arial"/>
          <w:b w:val="false"/>
          <w:bCs w:val="false"/>
        </w:rPr>
        <w:t xml:space="preserve"> Yes, most likely as </w:t>
      </w:r>
      <w:r>
        <w:rPr>
          <w:rFonts w:ascii="Arial" w:cs="Arial" w:eastAsia="Arial" w:hAnsi="Arial"/>
          <w:b/>
          <w:bCs/>
        </w:rPr>
        <w:t xml:space="preserve">modestly below market</w:t>
      </w:r>
      <w:r>
        <w:rPr>
          <w:rFonts w:ascii="Arial" w:cs="Arial" w:eastAsia="Arial" w:hAnsi="Arial"/>
          <w:b w:val="false"/>
          <w:bCs w:val="false"/>
        </w:rPr>
        <w:t xml:space="preserve">, though not dramatically so. An independent reviewer would weigh the Tier 1 restaurant ask of $84.81/SF NNN with $700,000 key money [28], the $65/SF NNN ask for dry Main Street district space [33] and the documented key-money premium paid for this exact leasehold in 2017 [15]. Against these, the reviewer would set the low closed Napeague lease [42] and the subject's small kitchen, repair history and lack of on-site parking [18]; on balance, that supports a market rent near $60–$72/SF against the current $54.55/SF. The reviewer would condition that opinion on confirming the floor area and the lease type. At a measured 1,000 SF on a NNN lease, the current rent would sit at the low edge of market. At 1,100 SF or more, or on a gross lease, it would be clearly below market.</w:t>
      </w:r>
    </w:p>
    <w:sectPr>
      <w:headerReference w:type="default" r:id="rId17"/>
      <w:footerReference w:type="default" r:id="rId18"/>
      <w:pgSz w:w="12240" w:h="15840" w:orient="portrait"/>
      <w:pgMar w:top="126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color="A6ACB5" w:sz="4" w:space="4"/>
      </w:pBdr>
      <w:tabs>
        <w:tab w:val="right" w:pos="10080"/>
      </w:tabs>
    </w:pPr>
    <w:r>
      <w:rPr>
        <w:rFonts w:ascii="Arial" w:cs="Arial" w:eastAsia="Arial" w:hAnsi="Arial"/>
        <w:color w:val="595959"/>
        <w:sz w:val="16"/>
        <w:szCs w:val="16"/>
      </w:rPr>
      <w:t xml:space="preserve">Prepared 2026-10-07 | Market evidence as of 2026-10-07 | Not an appraisal</w:t>
    </w:r>
    <w:r>
      <w:rPr>
        <w:rFonts w:ascii="Arial" w:cs="Arial" w:eastAsia="Arial" w:hAnsi="Arial"/>
        <w:color w:val="595959"/>
        <w:sz w:val="16"/>
        <w:szCs w:val="16"/>
      </w:rPr>
      <w:tab/>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color="A6ACB5" w:sz="4" w:space="4"/>
      </w:pBdr>
      <w:tabs>
        <w:tab w:val="right" w:pos="14400"/>
      </w:tabs>
    </w:pPr>
    <w:r>
      <w:rPr>
        <w:rFonts w:ascii="Arial" w:cs="Arial" w:eastAsia="Arial" w:hAnsi="Arial"/>
        <w:color w:val="595959"/>
        <w:sz w:val="16"/>
        <w:szCs w:val="16"/>
      </w:rPr>
      <w:t xml:space="preserve">Prepared 2026-10-07 | Market evidence as of 2026-10-07 | Not an appraisal</w:t>
    </w:r>
    <w:r>
      <w:rPr>
        <w:rFonts w:ascii="Arial" w:cs="Arial" w:eastAsia="Arial" w:hAnsi="Arial"/>
        <w:color w:val="595959"/>
        <w:sz w:val="16"/>
        <w:szCs w:val="16"/>
      </w:rPr>
      <w:tab/>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color="A6ACB5" w:sz="4" w:space="4"/>
      </w:pBdr>
      <w:tabs>
        <w:tab w:val="right" w:pos="10080"/>
      </w:tabs>
    </w:pPr>
    <w:r>
      <w:rPr>
        <w:rFonts w:ascii="Arial" w:cs="Arial" w:eastAsia="Arial" w:hAnsi="Arial"/>
        <w:color w:val="595959"/>
        <w:sz w:val="16"/>
        <w:szCs w:val="16"/>
      </w:rPr>
      <w:t xml:space="preserve">Prepared 2026-10-07 | Market evidence as of 2026-10-07 | Not an appraisal</w:t>
    </w:r>
    <w:r>
      <w:rPr>
        <w:rFonts w:ascii="Arial" w:cs="Arial" w:eastAsia="Arial" w:hAnsi="Arial"/>
        <w:color w:val="595959"/>
        <w:sz w:val="16"/>
        <w:szCs w:val="16"/>
      </w:rPr>
      <w:tab/>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color="A6ACB5" w:sz="4" w:space="4"/>
      </w:pBdr>
      <w:tabs>
        <w:tab w:val="right" w:pos="14400"/>
      </w:tabs>
    </w:pPr>
    <w:r>
      <w:rPr>
        <w:rFonts w:ascii="Arial" w:cs="Arial" w:eastAsia="Arial" w:hAnsi="Arial"/>
        <w:color w:val="595959"/>
        <w:sz w:val="16"/>
        <w:szCs w:val="16"/>
      </w:rPr>
      <w:t xml:space="preserve">Prepared 2026-10-07 | Market evidence as of 2026-10-07 | Not an appraisal</w:t>
    </w:r>
    <w:r>
      <w:rPr>
        <w:rFonts w:ascii="Arial" w:cs="Arial" w:eastAsia="Arial" w:hAnsi="Arial"/>
        <w:color w:val="595959"/>
        <w:sz w:val="16"/>
        <w:szCs w:val="16"/>
      </w:rPr>
      <w:tab/>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color="A6ACB5" w:sz="4" w:space="4"/>
      </w:pBdr>
      <w:tabs>
        <w:tab w:val="right" w:pos="10080"/>
      </w:tabs>
    </w:pPr>
    <w:r>
      <w:rPr>
        <w:rFonts w:ascii="Arial" w:cs="Arial" w:eastAsia="Arial" w:hAnsi="Arial"/>
        <w:color w:val="595959"/>
        <w:sz w:val="16"/>
        <w:szCs w:val="16"/>
      </w:rPr>
      <w:t xml:space="preserve">Prepared 2026-10-07 | Market evidence as of 2026-10-07 | Not an appraisal</w:t>
    </w:r>
    <w:r>
      <w:rPr>
        <w:rFonts w:ascii="Arial" w:cs="Arial" w:eastAsia="Arial" w:hAnsi="Arial"/>
        <w:color w:val="595959"/>
        <w:sz w:val="16"/>
        <w:szCs w:val="16"/>
      </w:rPr>
      <w:tab/>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CB5" w:sz="4" w:space="4"/>
      </w:pBdr>
      <w:spacing w:after="0"/>
    </w:pPr>
    <w:r>
      <w:rPr>
        <w:rFonts w:ascii="Arial" w:cs="Arial" w:eastAsia="Arial" w:hAnsi="Arial"/>
        <w:color w:val="595959"/>
        <w:sz w:val="16"/>
        <w:szCs w:val="16"/>
      </w:rPr>
      <w:t xml:space="preserve">207 Main Street, Amagansett | Commercial Market Rent Assessment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CB5" w:sz="4" w:space="4"/>
      </w:pBdr>
      <w:spacing w:after="0"/>
    </w:pPr>
    <w:r>
      <w:rPr>
        <w:rFonts w:ascii="Arial" w:cs="Arial" w:eastAsia="Arial" w:hAnsi="Arial"/>
        <w:color w:val="595959"/>
        <w:sz w:val="16"/>
        <w:szCs w:val="16"/>
      </w:rPr>
      <w:t xml:space="preserve">207 Main Street, Amagansett | Commercial Market Rent Assessment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CB5" w:sz="4" w:space="4"/>
      </w:pBdr>
      <w:spacing w:after="0"/>
    </w:pPr>
    <w:r>
      <w:rPr>
        <w:rFonts w:ascii="Arial" w:cs="Arial" w:eastAsia="Arial" w:hAnsi="Arial"/>
        <w:color w:val="595959"/>
        <w:sz w:val="16"/>
        <w:szCs w:val="16"/>
      </w:rPr>
      <w:t xml:space="preserve">207 Main Street, Amagansett | Commercial Market Rent Assessment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CB5" w:sz="4" w:space="4"/>
      </w:pBdr>
      <w:spacing w:after="0"/>
    </w:pPr>
    <w:r>
      <w:rPr>
        <w:rFonts w:ascii="Arial" w:cs="Arial" w:eastAsia="Arial" w:hAnsi="Arial"/>
        <w:color w:val="595959"/>
        <w:sz w:val="16"/>
        <w:szCs w:val="16"/>
      </w:rPr>
      <w:t xml:space="preserve">207 Main Street, Amagansett | Commercial Market Rent Assessment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CB5" w:sz="4" w:space="4"/>
      </w:pBdr>
      <w:spacing w:after="0"/>
    </w:pPr>
    <w:r>
      <w:rPr>
        <w:rFonts w:ascii="Arial" w:cs="Arial" w:eastAsia="Arial" w:hAnsi="Arial"/>
        <w:color w:val="595959"/>
        <w:sz w:val="16"/>
        <w:szCs w:val="16"/>
      </w:rPr>
      <w:t xml:space="preserve">207 Main Street, Amagansett | Commercial Market Rent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560" w:hanging="560"/>
      </w:pPr>
      <w:rPr>
        <w:rFonts w:ascii="Arial" w:cs="Arial" w:eastAsia="Arial" w:hAnsi="Arial"/>
      </w:rPr>
    </w:lvl>
  </w:abstractNum>
  <w:abstractNum w:abstractNumId="5" w15:restartNumberingAfterBreak="0">
    <w:multiLevelType w:val="hybridMultilevel"/>
    <w:lvl w:ilvl="0" w15:tentative="1">
      <w:start w:val="1"/>
      <w:numFmt w:val="decimal"/>
      <w:lvlText w:val="%1."/>
      <w:lvlJc w:val="left"/>
      <w:pPr>
        <w:ind w:left="54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1F3864" w:sz="6" w:space="4"/>
      </w:pBdr>
      <w:spacing w:after="160" w:before="360"/>
      <w:outlineLvl w:val="0"/>
    </w:pPr>
    <w:rPr>
      <w:rFonts w:ascii="Arial" w:cs="Arial" w:eastAsia="Arial" w:hAnsi="Arial"/>
      <w:b/>
      <w:bCs/>
      <w:color w:val="1F3864"/>
      <w:sz w:val="30"/>
      <w:szCs w:val="30"/>
    </w:rPr>
  </w:style>
  <w:style w:type="paragraph" w:styleId="Footer">
    <w:name w:val="footer"/>
    <w:basedOn w:val="Normal"/>
    <w:rPr>
      <w:rFonts w:ascii="Arial" w:cs="Arial" w:eastAsia="Arial" w:hAnsi="Arial"/>
      <w:color w:val="595959"/>
      <w:sz w:val="16"/>
      <w:szCs w:val="16"/>
    </w:rPr>
  </w:style>
  <w:style w:type="paragraph" w:styleId="TOC1">
    <w:name w:val="toc 1"/>
    <w:basedOn w:val="Normal"/>
    <w:next w:val="Normal"/>
    <w:pPr>
      <w:spacing w:after="60" w:before="60"/>
    </w:pPr>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udh-ihyhyfvf3yss7_qag" Type="http://schemas.openxmlformats.org/officeDocument/2006/relationships/hyperlink" Target="https://data.ny.gov/resource/7vem-aaz7.json?$where=swis_code=%27472489%27%20AND%20print_key_code=%27171.-1-18%27" TargetMode="External"/><Relationship Id="rIdoqqq16eqh3utjigbrvo0e" Type="http://schemas.openxmlformats.org/officeDocument/2006/relationships/hyperlink" Target="https://data.ny.gov/resource/7vem-aaz7.json" TargetMode="External"/><Relationship Id="rIdrallb_4gkafuua15mutrr" Type="http://schemas.openxmlformats.org/officeDocument/2006/relationships/hyperlink" Target="https://www.propertyshark.com/mason/Property/33812847/207-Main-St-Amagansett-NY-11930/" TargetMode="External"/><Relationship Id="rIdnnrekeurcnomzkrehuelk" Type="http://schemas.openxmlformats.org/officeDocument/2006/relationships/hyperlink" Target="https://ecode360.com/10416540" TargetMode="External"/><Relationship Id="rId2xpas0bfz6ws1b4tjkaky" Type="http://schemas.openxmlformats.org/officeDocument/2006/relationships/hyperlink" Target="https://ecode360.com/attachment/EA0658/EA0658-255c%20Use%20Table%20-%20Commercial.pdf" TargetMode="External"/><Relationship Id="rIdbpor2mctjqidiyi1dsz2g" Type="http://schemas.openxmlformats.org/officeDocument/2006/relationships/hyperlink" Target="https://ecode360.com/attachment/EA0658/EA0658-255e%20Business%20Commercial%20Industrial%20-%20Dimensional%20Regs.pdf" TargetMode="External"/><Relationship Id="rIdmljpnlxhkidlmtygyahhi" Type="http://schemas.openxmlformats.org/officeDocument/2006/relationships/hyperlink" Target="https://www.ehamptonny.gov/AgendaCenter/ViewFile/Item/2157?fileID=5624" TargetMode="External"/><Relationship Id="rIdxdtokcgbfwslajh86_xvq" Type="http://schemas.openxmlformats.org/officeDocument/2006/relationships/hyperlink" Target="https://suffolkcountyny.gov/Portals/0/formsdocs/planning/scplanningcommission/2020/Staff%20Report%20Town%20of%20East%20Hampton%20-%20Comp%20Plan%20amendment%20East%20Hampton%20Hamlet%20Reports%20Amagansett%20a.pdf" TargetMode="External"/><Relationship Id="rId_fkat7enbmd4vpy3aecqy" Type="http://schemas.openxmlformats.org/officeDocument/2006/relationships/hyperlink" Target="https://patch.com/new-york/riverhead/marys-marvelous-amagansett-close-new-tenant-sought" TargetMode="External"/><Relationship Id="rId-4axtl94urrolqvgvzxds" Type="http://schemas.openxmlformats.org/officeDocument/2006/relationships/hyperlink" Target="https://www.27east.com/real-estate-news/marys-marvelous-in-amagansett-to-close-when-new-tenant-is-found-1404430" TargetMode="External"/><Relationship Id="rIdcvry-qedllxwigxvqfhs8" Type="http://schemas.openxmlformats.org/officeDocument/2006/relationships/hyperlink" Target="https://www.danspapers.com/2016/12/marys-marvelous-in-amagansett-closing-and-available-to-lease/" TargetMode="External"/><Relationship Id="rIdjph9x8556icyzapatxpa6" Type="http://schemas.openxmlformats.org/officeDocument/2006/relationships/hyperlink" Target="https://behindthehedges.com/marys-marvelous-in-amagansett-closing-and-available-to-lease/" TargetMode="External"/><Relationship Id="rIdd93hnenmdvruwvfadogaw" Type="http://schemas.openxmlformats.org/officeDocument/2006/relationships/hyperlink" Target="https://behindthehedges.com/marys-marvelous-amagansett-shut-organic-krush-open/" TargetMode="External"/><Relationship Id="rId_pennywvz2aklw97a_qrx" Type="http://schemas.openxmlformats.org/officeDocument/2006/relationships/hyperlink" Target="https://www.danspapers.com/2017/06/behind-the-hedges-organic-krush-in-amagansett" TargetMode="External"/><Relationship Id="rId_o0obypcr0re6l5kk2txw" Type="http://schemas.openxmlformats.org/officeDocument/2006/relationships/hyperlink" Target="https://27east.com/east-hampton-press/marys-marvelous-leaves-amagansett-organic-krush-to-move-in-1633346" TargetMode="External"/><Relationship Id="rIdxjk-lg5gtimp82xlqpysv" Type="http://schemas.openxmlformats.org/officeDocument/2006/relationships/hyperlink" Target="https://patch.com/new-york/easthampton/marys-marvelous-sold-organic-krush-set-open-shop" TargetMode="External"/><Relationship Id="rIdkgauk7rhoxqdxo28n2lhq" Type="http://schemas.openxmlformats.org/officeDocument/2006/relationships/hyperlink" Target="https://hamptons.com/real-estate-real-estate-news-23449-organic-cafe-taking-over-marys-marvelous-html/" TargetMode="External"/><Relationship Id="rIdeycoavbtwsmahjxtw6k3t" Type="http://schemas.openxmlformats.org/officeDocument/2006/relationships/hyperlink" Target="https://marysmarvelous.substack.com/p/the-vacant-storefront-that-held-my" TargetMode="External"/><Relationship Id="rIdi34coagiqzmxup7a-q52a" Type="http://schemas.openxmlformats.org/officeDocument/2006/relationships/hyperlink" Target="https://www.easthamptonstar.com/archive/krush-squeezes-gansett" TargetMode="External"/><Relationship Id="rIdsf1oja-si6ptmtomeatak" Type="http://schemas.openxmlformats.org/officeDocument/2006/relationships/hyperlink" Target="https://www.danspapers.com/2020/04/organic-krush-reopens-amagansett-location" TargetMode="External"/><Relationship Id="rId67sau_ld960kv4itziqwa" Type="http://schemas.openxmlformats.org/officeDocument/2006/relationships/hyperlink" Target="https://organickrush.com/locations/" TargetMode="External"/><Relationship Id="rIdsl0zlypt_fcadoqh4of2y" Type="http://schemas.openxmlformats.org/officeDocument/2006/relationships/hyperlink" Target="https://organickrush.com/organic-krush-menu-amagansett/" TargetMode="External"/><Relationship Id="rIdfjemuvdhw2hfiumistozj" Type="http://schemas.openxmlformats.org/officeDocument/2006/relationships/hyperlink" Target="https://locations.organickrush.com/ny/amagansett/207-main-street" TargetMode="External"/><Relationship Id="rIdwufgcib86e1hodw_qyfnz" Type="http://schemas.openxmlformats.org/officeDocument/2006/relationships/hyperlink" Target="https://www.easthamptonstar.com/villages-business/2023216/amagansett-main-street-flux" TargetMode="External"/><Relationship Id="rIdzmrnknbyrorncqgixhzxt" Type="http://schemas.openxmlformats.org/officeDocument/2006/relationships/hyperlink" Target="https://easthamptonstar.com/government/2020123/more-parking-amagansett-memorial-day" TargetMode="External"/><Relationship Id="rIdgnbv4ebyyqka7xzwm5u2z" Type="http://schemas.openxmlformats.org/officeDocument/2006/relationships/hyperlink" Target="https://richmondbizsense.com/2023/09/18/organic-krush-restaurant-closes-short-pump-outpost-after-4-years/" TargetMode="External"/><Relationship Id="rIdgbydtmf7c8payxihqlv4i" Type="http://schemas.openxmlformats.org/officeDocument/2006/relationships/hyperlink" Target="https://richmondbizsense.com/2024/06/17/organic-krush-closes-at-ur-campus-new-eatery-to-open-in-its-place/" TargetMode="External"/><Relationship Id="rIdejxy-ld3u2kksbpby3k7c" Type="http://schemas.openxmlformats.org/officeDocument/2006/relationships/hyperlink" Target="https://hamptonscommercialre.com/properties/iconic-amagansett-restaurant-turn-key-opportunity/" TargetMode="External"/><Relationship Id="rIdyhadc5uauzn3ejwxryli4" Type="http://schemas.openxmlformats.org/officeDocument/2006/relationships/hyperlink" Target="https://www.compass.com/homedetails/74-A-Montauk-Hwy-Amagansett-NY-11930/2070541251466245481_lid/" TargetMode="External"/><Relationship Id="rIdzp3cgirgclawy6e1g8i6k" Type="http://schemas.openxmlformats.org/officeDocument/2006/relationships/hyperlink" Target="https://www.hamptonsrealestate.com/eng/hampton-rentals/detail/524-l-526-930465/74a-montauk-highway-amagansett-ny-11930" TargetMode="External"/><Relationship Id="rIdeoyeiybesjha-0fx15ytj" Type="http://schemas.openxmlformats.org/officeDocument/2006/relationships/hyperlink" Target="https://www.cityfeet.com/cont/listing/74a-montauk-hwy-amagansett-ny-11930/cs39907135" TargetMode="External"/><Relationship Id="rId53wgy0b-8sd6laqgsjvlk" Type="http://schemas.openxmlformats.org/officeDocument/2006/relationships/hyperlink" Target="https://www.crexi.com/lease/properties/1155311/new-york-74a-montauk-highway---iconic-amagansett-restaurant" TargetMode="External"/><Relationship Id="rIdmq51hqtcfzvju3qttjeun" Type="http://schemas.openxmlformats.org/officeDocument/2006/relationships/hyperlink" Target="https://hamptonscommercialre.com/properties/first-floor-commercial-space/" TargetMode="External"/><Relationship Id="rIdmof1mmwd5eyv1fgmifvb0" Type="http://schemas.openxmlformats.org/officeDocument/2006/relationships/hyperlink" Target="https://hamptonscommercialre.com/properties/ground-level-commercial-offering/" TargetMode="External"/><Relationship Id="rId-u6vdqdwbe1sggksmkmjn" Type="http://schemas.openxmlformats.org/officeDocument/2006/relationships/hyperlink" Target="https://hamptonscommercialre.com/properties/second-floor-amagansett-commercial-flex-space-iconic-building/" TargetMode="External"/><Relationship Id="rIdhwlguyppcmq2_zdn9ptdi" Type="http://schemas.openxmlformats.org/officeDocument/2006/relationships/hyperlink" Target="https://hamptonscommercialre.com/properties/premier-amagansett-commercial-assemblage-136-main-street-11-indian-wells-hwy-amagansett/" TargetMode="External"/><Relationship Id="rIdgk6xaiwiepfokp2fneo6k" Type="http://schemas.openxmlformats.org/officeDocument/2006/relationships/hyperlink" Target="https://www.crexi.com/lease/properties/718872/new-york-11-indian-wells-hwy" TargetMode="External"/><Relationship Id="rIdwal26v8aehli5g7dqhs15" Type="http://schemas.openxmlformats.org/officeDocument/2006/relationships/hyperlink" Target="https://www.loopnet.com/Listing/136-Main-St-Amagansett-NY/32986784/" TargetMode="External"/><Relationship Id="rId7bepgvettzawsd2xde2zi" Type="http://schemas.openxmlformats.org/officeDocument/2006/relationships/hyperlink" Target="https://hamptonscommercialre.com/properties/retail-end-cap-prime-visibility/" TargetMode="External"/><Relationship Id="rIdsg8kad5pa-zdmsu0p5vhs" Type="http://schemas.openxmlformats.org/officeDocument/2006/relationships/hyperlink" Target="https://www.compass.com/agents/the-hamptons-commercial-real-estate-team/" TargetMode="External"/><Relationship Id="rIdpjihpo12iwjfaz0wtwa2u" Type="http://schemas.openxmlformats.org/officeDocument/2006/relationships/hyperlink" Target="https://www.compass.com/listing/136-main-street-amagansett-ny-11930/1819738165409919177/" TargetMode="External"/><Relationship Id="rIdizn3odkxl0shoed-b9m-9" Type="http://schemas.openxmlformats.org/officeDocument/2006/relationships/hyperlink" Target="https://www.compass.com/homedetails/2095-Montauk-Hwy-Amagansett-NY-11930/1826297907410452777_lid/" TargetMode="External"/><Relationship Id="rIdhb-edae9uuy8w30s9k01o" Type="http://schemas.openxmlformats.org/officeDocument/2006/relationships/hyperlink" Target="https://behindthehedges.com/fall-2024-food-market-commercial-real-estate" TargetMode="External"/><Relationship Id="rId4sgruzccetpz_syiytas0" Type="http://schemas.openxmlformats.org/officeDocument/2006/relationships/hyperlink" Target="https://www.tenantbase.com/us/building/196079" TargetMode="External"/><Relationship Id="rId_vxanrk84awdkud-jxms_" Type="http://schemas.openxmlformats.org/officeDocument/2006/relationships/hyperlink" Target="https://behindthehedges.com/amagansett-commercial-property-lists-8-million" TargetMode="External"/><Relationship Id="rIdi7liezzmlbansrhj8au9x" Type="http://schemas.openxmlformats.org/officeDocument/2006/relationships/hyperlink" Target="https://www.cityfeet.com/cont/listing/519-521-montauk-hwy-amagansett-ny-11930/cs39871633" TargetMode="External"/><Relationship Id="rId_4ydsodsixk90u1co9wbo" Type="http://schemas.openxmlformats.org/officeDocument/2006/relationships/hyperlink" Target="https://www.corcoran.com/listing/for-rent/249-main-street-amagansett-ny-11930/5981523/regionId/3" TargetMode="External"/><Relationship Id="rIdmb6rgaknswdwmmhzjbzs8" Type="http://schemas.openxmlformats.org/officeDocument/2006/relationships/hyperlink" Target="https://hamptonscommercialre.com/properties-sitemap.xml" TargetMode="External"/><Relationship Id="rId-9chebrw7tqy8afemadey" Type="http://schemas.openxmlformats.org/officeDocument/2006/relationships/hyperlink" Target="https://www.loopnet.com/search/retail-space/amagansett-ny/for-lease/" TargetMode="External"/><Relationship Id="rIdvbw_-gnzls_rrxt2ldnfy" Type="http://schemas.openxmlformats.org/officeDocument/2006/relationships/hyperlink" Target="https://hamptonscommercialre.com/properties/17-s-edison-st-montauk-restaurant/" TargetMode="External"/><Relationship Id="rId-mjd6hqe5-nw6cv_pyej7" Type="http://schemas.openxmlformats.org/officeDocument/2006/relationships/hyperlink" Target="https://hamptonscommercialre.com/properties/retail-storefront-in-the-core-shopping-district-of-east-hampton-village/" TargetMode="External"/><Relationship Id="rId1tyqcf2v6kufhzxo3kaa9" Type="http://schemas.openxmlformats.org/officeDocument/2006/relationships/hyperlink" Target="https://hamptonscommercialre.com/properties/prime-east-hampton-village-retail/" TargetMode="External"/><Relationship Id="rIdcciupobeqxep4blbvu1ew" Type="http://schemas.openxmlformats.org/officeDocument/2006/relationships/hyperlink" Target="https://traded.co/deals/new-york/retail/lease/53-the-circle-1/" TargetMode="External"/><Relationship Id="rIdergrvznfbwib92hqo78qm" Type="http://schemas.openxmlformats.org/officeDocument/2006/relationships/hyperlink" Target="https://traded.co/deals/new-york/retail/lease/53-the-circle/" TargetMode="External"/><Relationship Id="rIdhk1hcgdjhd2ykwlstu7eh" Type="http://schemas.openxmlformats.org/officeDocument/2006/relationships/hyperlink" Target="https://traded.co/deals/new-york/retail/lease/48-main-street/" TargetMode="External"/><Relationship Id="rId3snnk3pbl9vzi5wc9xfjp" Type="http://schemas.openxmlformats.org/officeDocument/2006/relationships/hyperlink" Target="https://hamptonscommercialre.com/properties/east-hampton-village-retail-two-boutique-units-available-for-lease/" TargetMode="External"/><Relationship Id="rIdpw2doyfd39gzlhl30uood" Type="http://schemas.openxmlformats.org/officeDocument/2006/relationships/hyperlink" Target="https://hamptonscommercialre.com/properties/one-of-a-kind-retail-outlet-with-character-in-east-hampton/" TargetMode="External"/><Relationship Id="rIdwix_mddwo61yhurqhpld8" Type="http://schemas.openxmlformats.org/officeDocument/2006/relationships/hyperlink" Target="https://hamptonscommercialre.com/properties/70-main-street-floor-1-southampton-retail-for-lease/" TargetMode="External"/><Relationship Id="rIdnfb0-chvr7gdicxspcl4h" Type="http://schemas.openxmlformats.org/officeDocument/2006/relationships/hyperlink" Target="https://hamptonscommercialre.com/properties/a-rare-commercial-opportunity-at-the-crossroads-of-the-hamptons-most-prestigious-corridor/" TargetMode="External"/><Relationship Id="rId7t6n3xqcrgoroqvkrq5uz" Type="http://schemas.openxmlformats.org/officeDocument/2006/relationships/hyperlink" Target="https://www.cityfeet.com/cont/listing/81-montauk-hwy-wainscott-ny-11975/cs41480188" TargetMode="External"/><Relationship Id="rIdd0x6coqmgu26e4zngxg-u" Type="http://schemas.openxmlformats.org/officeDocument/2006/relationships/hyperlink" Target="https://www.bizquest.com/real-estate-for-lease/premier-westhampton-restaurant-opportunity/BW2453378" TargetMode="External"/><Relationship Id="rIdjwvrghnmoptnah-jepeqi" Type="http://schemas.openxmlformats.org/officeDocument/2006/relationships/hyperlink" Target="https://hamptonscommercialre.com/properties/high-visibility-boutique-space/" TargetMode="External"/><Relationship Id="rIdnhqvcenlu0wlu2rtkgikf" Type="http://schemas.openxmlformats.org/officeDocument/2006/relationships/hyperlink" Target="https://hamptonscommercialre.com/properties/sag-harbor-main-street-retail/" TargetMode="External"/><Relationship Id="rIdmozasydth9lomt6ntgoud" Type="http://schemas.openxmlformats.org/officeDocument/2006/relationships/hyperlink" Target="https://hamptonscommercialre.com/properties/inline-retail-store-in-southamptons-cultural-hub/" TargetMode="External"/><Relationship Id="rId7xi8tciskimljo0vidtvf" Type="http://schemas.openxmlformats.org/officeDocument/2006/relationships/hyperlink" Target="https://hamptonscommercialre.com/properties/1-windmill-lane-7-hill-st-southampton/" TargetMode="External"/><Relationship Id="rIdjb2pjhmat41inj1rsouuh" Type="http://schemas.openxmlformats.org/officeDocument/2006/relationships/hyperlink" Target="https://hamptonscommercialre.com/properties/southampton-village-grocery-opportunity-at-15-hill-street-unit-b-southampton-ny/" TargetMode="External"/><Relationship Id="rId7jfkvxqiqjtndpkapb4ar" Type="http://schemas.openxmlformats.org/officeDocument/2006/relationships/hyperlink" Target="https://behindthehedges.com/bar-restaurant-available-lease-highly-visible/" TargetMode="External"/><Relationship Id="rIdn5vxleitu1zjrbhy93kyd" Type="http://schemas.openxmlformats.org/officeDocument/2006/relationships/hyperlink" Target="https://hamptonscommercialre.com/properties/highly-visible-restaurant-bar-on-montauk-highway-with-an-established-following/" TargetMode="External"/><Relationship Id="rId3xe2ga4whprjlh5i9jiu7" Type="http://schemas.openxmlformats.org/officeDocument/2006/relationships/hyperlink" Target="https://hamptonscommercialre.com/properties/freestanding-commercial-building-rare-vb-zoned-property-with-private-parking-in-the-southampton-village-core/" TargetMode="External"/><Relationship Id="rId-c1kssvemy6fdnblztw-2" Type="http://schemas.openxmlformats.org/officeDocument/2006/relationships/hyperlink" Target="https://hamptonscommercialre.com/properties/southampton-village-retail-highly-recognized-freestanding-building-for-sale/" TargetMode="External"/><Relationship Id="rIdwtme2v1xxlif_xplfzidk" Type="http://schemas.openxmlformats.org/officeDocument/2006/relationships/hyperlink" Target="https://hamptonscommercialre.com/properties/3000sf-multi-structure-property-in-the-sag-harbor-village-office-district/" TargetMode="External"/><Relationship Id="rIdn-4tktv1xkvd8tloqzmig" Type="http://schemas.openxmlformats.org/officeDocument/2006/relationships/hyperlink" Target="https://rightspacecre.com/blog/what-are-triple-net-nnn-charges-in-a-commercial-lease" TargetMode="External"/><Relationship Id="rIdypgu5mzb2en3lzdjffqcq" Type="http://schemas.openxmlformats.org/officeDocument/2006/relationships/hyperlink" Target="https://patch.com/new-york/easthampton/gone-local-goes-looking-for-a-new-space" TargetMode="External"/><Relationship Id="rIdyvbkwbekxbvn4a_4ion9l" Type="http://schemas.openxmlformats.org/officeDocument/2006/relationships/hyperlink" Target="https://www.easthamptonstar.com/archive/square-dance-amagansett" TargetMode="External"/><Relationship Id="rIdapzef8bmtuyqulvl7ve71" Type="http://schemas.openxmlformats.org/officeDocument/2006/relationships/hyperlink" Target="https://www.easthamptonstar.com/archive/lifestyle-shops-fill-gansett-square-capacity" TargetMode="External"/><Relationship Id="rIdbajikby1qez84spn9t8nf" Type="http://schemas.openxmlformats.org/officeDocument/2006/relationships/hyperlink" Target="https://easthamptonstar.com/villages/2021527/hampton-chutney-co-squeezed-out-square" TargetMode="External"/><Relationship Id="rIdns1ioy-ltgueekuqlw9tz" Type="http://schemas.openxmlformats.org/officeDocument/2006/relationships/hyperlink" Target="https://easthamptonstar.com/business-food/2021812/marvelous-new-home-hampton-chutney-co" TargetMode="External"/><Relationship Id="rIdhdllfjdcoxcgn3nnghydm" Type="http://schemas.openxmlformats.org/officeDocument/2006/relationships/hyperlink" Target="https://www.easthamptonstar.com/food/2025925/adios-coche-comedor" TargetMode="External"/><Relationship Id="rIdv1l1kvnypdxetiqaisphi" Type="http://schemas.openxmlformats.org/officeDocument/2006/relationships/hyperlink" Target="https://therealdeal.com/tristate/issues_articles/the-hamptons-new-hotspots" TargetMode="External"/><Relationship Id="rIdngtfqeutgdsefbdkq1ieq" Type="http://schemas.openxmlformats.org/officeDocument/2006/relationships/hyperlink" Target="https://behindthehedges.com/final-figure-amagansett-restaurant-sells-4-5m" TargetMode="External"/><Relationship Id="rIdwrzmwxhd5hac5szfm2vvr" Type="http://schemas.openxmlformats.org/officeDocument/2006/relationships/hyperlink" Target="https://www.danspapers.com/2020/02/highway-restaurant-buys-indian-wells-tavern" TargetMode="External"/><Relationship Id="rIdqr6mlv7lz6deebxfeljsl" Type="http://schemas.openxmlformats.org/officeDocument/2006/relationships/hyperlink" Target="https://www.danspapers.com/2022/10/amagansett-main-street-tavern-restaurant-building-for-sale" TargetMode="External"/><Relationship Id="rIdqenp0leqid3-ir-9v2xnz" Type="http://schemas.openxmlformats.org/officeDocument/2006/relationships/hyperlink" Target="https://27east.com/east-hampton-press/rowdy-hall-to-move-from-east-hampton-village-to-amagansett-after-summer-2159344" TargetMode="External"/><Relationship Id="rIdvpsbdwjih6i9fra_mssaw" Type="http://schemas.openxmlformats.org/officeDocument/2006/relationships/hyperlink" Target="https://behindthehedges.com/amagansett-applied-arts-building-sells-5-2-m" TargetMode="External"/><Relationship Id="rIdxq2pyorvgqubc9gzxlx2j" Type="http://schemas.openxmlformats.org/officeDocument/2006/relationships/hyperlink" Target="https://www.easthamptonstar.com/business/2022317/recorded-deeds-031722" TargetMode="External"/><Relationship Id="rIdkbhd8jnreikzb7c3i964e" Type="http://schemas.openxmlformats.org/officeDocument/2006/relationships/hyperlink" Target="https://easthamptonstar.com/villages-business/202672/amagansetts-west-end-sees-business-boom" TargetMode="External"/><Relationship Id="rIddvxc20uzf3awqkmvkzrm6" Type="http://schemas.openxmlformats.org/officeDocument/2006/relationships/hyperlink" Target="https://www.easthamptonstar.com/archive/village-going-going" TargetMode="External"/><Relationship Id="rId8glpnektza7uuqskm2yxh" Type="http://schemas.openxmlformats.org/officeDocument/2006/relationships/hyperlink" Target="https://therealdeal.com/magazine/new-york-june-2009/retail-cools-in-hamptons" TargetMode="External"/><Relationship Id="rIde81wldgujyanfb3ubblpk" Type="http://schemas.openxmlformats.org/officeDocument/2006/relationships/hyperlink" Target="https://www.corcoran.com/nyc/press-mention/display/12619" TargetMode="External"/><Relationship Id="rIdjvsks0w5mhsigara_6mp7" Type="http://schemas.openxmlformats.org/officeDocument/2006/relationships/hyperlink" Target="https://www.27east.com/real-estate-news/pulse-points-1407695" TargetMode="External"/><Relationship Id="rIdsrpxiia9bdbmrbcqkyq6i" Type="http://schemas.openxmlformats.org/officeDocument/2006/relationships/hyperlink" Target="https://therealdeal.com/magazine/new-york-july-2017/fashion-and-furnishings-lead-a-retail-revival-in-southampton/" TargetMode="External"/><Relationship Id="rIdmkjexh5d4l72_qodnlh8k" Type="http://schemas.openxmlformats.org/officeDocument/2006/relationships/hyperlink" Target="https://therealdeal.com/new-york/tristate/2019/06/03/revolving-retail-in-the-hamptons/" TargetMode="External"/><Relationship Id="rIdfbbzxxzgdskw7-ut8m1xo" Type="http://schemas.openxmlformats.org/officeDocument/2006/relationships/hyperlink" Target="https://www.easthamptonstar.com/villages/202192/general-store-east-hampton-its-challenge" TargetMode="External"/><Relationship Id="rId7nnll489zfmvqz-8xvvvr" Type="http://schemas.openxmlformats.org/officeDocument/2006/relationships/hyperlink" Target="https://behindthehedges.com/southampton-restaurant-sale-first-time-20/" TargetMode="External"/><Relationship Id="rId8jbv3xrq1ym5ryx4ph5ja" Type="http://schemas.openxmlformats.org/officeDocument/2006/relationships/hyperlink" Target="https://behindthehedges.com/hamptons-commercial-real-estate-market/" TargetMode="External"/><Relationship Id="rIdt4ja6shvc61upcdhqw5wa" Type="http://schemas.openxmlformats.org/officeDocument/2006/relationships/hyperlink" Target="https://behindthehedges.com/premier-retail-building-downtown-montauk-10m/" TargetMode="External"/><Relationship Id="rIdplmoemkpps0_wbncgf2x4" Type="http://schemas.openxmlformats.org/officeDocument/2006/relationships/hyperlink" Target="https://behindthehedges.com/montauk-retail-plaza-cheaper" TargetMode="External"/><Relationship Id="rIdmbbxzieadajrmkh9ymguu" Type="http://schemas.openxmlformats.org/officeDocument/2006/relationships/hyperlink" Target="https://hamptons.com/real-estate-land-and-law-21731-exploring-the-east-end-commercial-real-estate-html/" TargetMode="External"/><Relationship Id="rIdaylhxfcys6r2-da5ghixe" Type="http://schemas.openxmlformats.org/officeDocument/2006/relationships/hyperlink" Target="https://www.easthamptonstar.com/archive/corner-building-1075-million" TargetMode="External"/><Relationship Id="rId5ln9spy77-5ewnp_xujtm" Type="http://schemas.openxmlformats.org/officeDocument/2006/relationships/hyperlink" Target="https://wwd.com/business-news/retail/hamptons-retail-scene-whats-new-for-summer-2026-1238932696/" TargetMode="External"/><Relationship Id="rIdjfn5v7tyfiykekfgvrkwx" Type="http://schemas.openxmlformats.org/officeDocument/2006/relationships/hyperlink" Target="https://therealdeal.com/magazine/june-2025/not-a-vanity-play/" TargetMode="External"/><Relationship Id="rIdfnjuis607zxrp51ckqnly" Type="http://schemas.openxmlformats.org/officeDocument/2006/relationships/hyperlink" Target="https://therealdeal.com/new-york/tristate/2026/05/25/what-to-know-as-hamptons-summer-season-begins/" TargetMode="External"/><Relationship Id="rIdn9ubnrtp0wh41hfxm8adi" Type="http://schemas.openxmlformats.org/officeDocument/2006/relationships/hyperlink" Target="https://www.osc.ny.gov/press/releases/2026/07/dinapoli-local-sales-tax-collections-total-127-billion-first-half-2026-68-over-last-year" TargetMode="External"/><Relationship Id="rIdvjs5qdzx0491wvyudywy8" Type="http://schemas.openxmlformats.org/officeDocument/2006/relationships/hyperlink" Target="https://www.27east.com/east-hampton-press/news/government/article_2c6df056-ba7d-486e-b086-00d254e2632f.html" TargetMode="External"/><Relationship Id="rIdik6infzxbo4pvlsuguf3i" Type="http://schemas.openxmlformats.org/officeDocument/2006/relationships/hyperlink" Target="https://easthamptonstar.com/government/202635/amagansett-sidewalk-beautification-works" TargetMode="External"/><Relationship Id="rIdsj325fydfc8hewxypqogf" Type="http://schemas.openxmlformats.org/officeDocument/2006/relationships/hyperlink" Target="https://dol.ny.gov/minimum-wage-0" TargetMode="External"/><Relationship Id="rIdaisvovzdyi8nu-odiwzm3" Type="http://schemas.openxmlformats.org/officeDocument/2006/relationships/hyperlink" Target="https://dol.ny.gov/system/files/documents/2025/12/p717_12-25.pdf" TargetMode="External"/><Relationship Id="rIdtzurkm6o0wwxid6e0gzwk" Type="http://schemas.openxmlformats.org/officeDocument/2006/relationships/hyperlink" Target="https://www.nrn.com/restaurant-insights/restaurant-industry-faces-modest-growth-amid-cost-pressures-in-2026" TargetMode="External"/><Relationship Id="rId-2q8jckkwbr8ohpmkq1ld" Type="http://schemas.openxmlformats.org/officeDocument/2006/relationships/hyperlink" Target="https://www.appraisalinstitute.org/getattachment/efe3dcf2-80e0-4565-97a0-9c643479e512/Market-Rent-and-Highest-and-Best-Use.pdf" TargetMode="External"/><Relationship Id="rIdqx_y7frhim3db5b7jm0uw" Type="http://schemas.openxmlformats.org/officeDocument/2006/relationships/hyperlink" Target="https://www.law.cornell.edu/cfr/text/12/323.2" TargetMode="External"/><Relationship Id="rId4g2w-ucj3xc7dlcgcnfdk" Type="http://schemas.openxmlformats.org/officeDocument/2006/relationships/hyperlink" Target="https://compstak.com/blog/net-effective-rent-vs-asking-rent-cre-underwriting" TargetMode="External"/><Relationship Id="rIdf_ykucbd1x2engpieeqzs" Type="http://schemas.openxmlformats.org/officeDocument/2006/relationships/hyperlink" Target="https://compstak.com/blog/retail-rent-concession-trends-compstak-lease-data" TargetMode="External"/><Relationship Id="rId_tbflmmbklssc03xgju6w" Type="http://schemas.openxmlformats.org/officeDocument/2006/relationships/hyperlink" Target="https://www.schuckmanrealty.com/nassau-and-suffolk-retail-a-landlords-market-that-just-keeps-getting-tighter/" TargetMode="External"/><Relationship Id="rIdgkz2viywqzdvq8i4aba-b" Type="http://schemas.openxmlformats.org/officeDocument/2006/relationships/hyperlink" Target="https://27east.com/east-hampton-press/a-new-public-park-and-parking-for-amagansett-2286972" TargetMode="External"/><Relationship Id="rIdwktbwoep2aluw6i5wtla5" Type="http://schemas.openxmlformats.org/officeDocument/2006/relationships/hyperlink" Target="https://www.easthamptonstar.com/food/2026416/news-foodies-041626" TargetMode="External"/><Relationship Id="rIdm_hvw8hvkatbyvji_er5p" Type="http://schemas.openxmlformats.org/officeDocument/2006/relationships/hyperlink" Target="https://www.27east.com/food-drinks/wolffer-kitchen-sag-harbors-lease-is-up-for-sale-while-the-restaurant-remains-open-1677330" TargetMode="External"/><Relationship Id="rIddjzwdxvacm8kxezn7_ssr" Type="http://schemas.openxmlformats.org/officeDocument/2006/relationships/hyperlink" Target="https://behindthehedges.com/historic-springs-tavern-now-for-sale-in-east-hampton/" TargetMode="External"/><Relationship Id="rId_nfmudyjno13nompsgy1b" Type="http://schemas.openxmlformats.org/officeDocument/2006/relationships/hyperlink" Target="https://hamptonscommercialre.com/closed-deals/" TargetMode="External"/><Relationship Id="rIdpuylw2qv8g_kbadw_malt" Type="http://schemas.openxmlformats.org/officeDocument/2006/relationships/hyperlink" Target="https://sociallifemagazine.com/luxury-lifestyle/amagansett-restaurants-2026/" TargetMode="External"/><Relationship Id="rIdigtq_tu1mwoxkkyw4ymwv" Type="http://schemas.openxmlformats.org/officeDocument/2006/relationships/hyperlink" Target="https://www.easthamptonstar.com/government/20251113/new-lights-near-amagansetts-main-street" TargetMode="External"/><Relationship Id="rIdo4w0zg2ywmuhvdlh0zwkg" Type="http://schemas.openxmlformats.org/officeDocument/2006/relationships/hyperlink" Target="https://www.danspapers.com/2019/11/healthy-organic-krush" TargetMode="External"/><Relationship Id="rIdo6ewwgmcvbrgpqgshfye6" Type="http://schemas.openxmlformats.org/officeDocument/2006/relationships/hyperlink" Target="https://www.yelp.com/biz/organic-krush-kitchen-and-eatery-amagansett" TargetMode="External"/><Relationship Id="rIdxwpwl2ipsercfeyyn0z61" Type="http://schemas.openxmlformats.org/officeDocument/2006/relationships/hyperlink" Target="https://www.easthamptonstar.com/government/202298/sea-change-amagansett-main-street" TargetMode="External"/><Relationship Id="rIdxuqdv92ls3eliloykysn3" Type="http://schemas.openxmlformats.org/officeDocument/2006/relationships/hyperlink" Target="https://www.ehamptonny.gov/DocumentCenter/View/2291/Fine-Arts-Amagansett-Presentation-June-3-2017-PDF" TargetMode="External"/><Relationship Id="rIdjahwznp_xtxlqnwmyvexg" Type="http://schemas.openxmlformats.org/officeDocument/2006/relationships/hyperlink" Target="https://www.easthamptonstar.com/archive/outdoors-heading-out" TargetMode="External"/><Relationship Id="rIdzls9lpgvcgmgigvrsazgc" Type="http://schemas.openxmlformats.org/officeDocument/2006/relationships/hyperlink" Target="https://www.27east.com/real-estate-news/tenants-sought-for-former-cvs-pharmacy-site-in-bridgehampton-2-1410257/" TargetMode="External"/><Relationship Id="rIdcqrxtjqtbksaufe5njagj" Type="http://schemas.openxmlformats.org/officeDocument/2006/relationships/hyperlink" Target="https://behindthehedges.com/two-commercial-properties-in-montauk-back-on-the-market/" TargetMode="External"/><Relationship Id="rId5qnlijrb6n5ji26nuq9zv" Type="http://schemas.openxmlformats.org/officeDocument/2006/relationships/hyperlink" Target="https://www.nycourts.gov/reporter/3dseries/2024/2024_05898.htm" TargetMode="External"/><Relationship Id="rId9cjbve-7bxlrkrub5pwzh" Type="http://schemas.openxmlformats.org/officeDocument/2006/relationships/hyperlink" Target="https://www.happycow.net/reviews/organic-krush-stony-brook-278874" TargetMode="External"/><Relationship Id="rIdflcfqdj-9hkamwphjyoy8" Type="http://schemas.openxmlformats.org/officeDocument/2006/relationships/hyperlink" Target="https://www.yelp.com/biz/organic-krush-new-hyde-park" TargetMode="External"/><Relationship Id="rId5wnj9fkidgf8vdmzfklvg" Type="http://schemas.openxmlformats.org/officeDocument/2006/relationships/hyperlink" Target="https://www.easthamptonstar.com/archive/poxy-third-time-charm" TargetMode="External"/><Relationship Id="rId1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207 Main Street, Amagansett - Commercial Market Rent Assessment</dc:title>
  <dc:creator>Landlord market rent assessment</dc:creator>
  <dc:description>Commercial market rent assessment, prepared October 7, 2026</dc:description>
  <cp:lastModifiedBy>Un-named</cp:lastModifiedBy>
  <cp:revision>1</cp:revision>
  <dcterms:created xsi:type="dcterms:W3CDTF">2026-10-07T21:39:46.163Z</dcterms:created>
  <dcterms:modified xsi:type="dcterms:W3CDTF">2026-10-07T21:39:46.163Z</dcterms:modified>
</cp:coreProperties>
</file>

<file path=docProps/custom.xml><?xml version="1.0" encoding="utf-8"?>
<Properties xmlns="http://schemas.openxmlformats.org/officeDocument/2006/custom-properties" xmlns:vt="http://schemas.openxmlformats.org/officeDocument/2006/docPropsVTypes"/>
</file>