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8E" w:rsidRPr="0013471F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134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HUKUM ADMINISTRASI NEGARA</w:t>
      </w:r>
    </w:p>
    <w:p w:rsidR="0013471F" w:rsidRDefault="0013471F" w:rsidP="00B97B8E">
      <w:pPr>
        <w:shd w:val="clear" w:color="auto" w:fill="FFF9EE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color w:val="222222"/>
          <w:sz w:val="23"/>
          <w:szCs w:val="23"/>
        </w:rPr>
      </w:pPr>
    </w:p>
    <w:p w:rsidR="00B97B8E" w:rsidRPr="0013471F" w:rsidRDefault="00B97B8E" w:rsidP="00B97B8E">
      <w:pPr>
        <w:shd w:val="clear" w:color="auto" w:fill="FFF9EE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color w:val="222222"/>
          <w:sz w:val="23"/>
          <w:szCs w:val="23"/>
          <w:u w:val="single"/>
        </w:rPr>
      </w:pPr>
      <w:proofErr w:type="gramStart"/>
      <w:r w:rsidRPr="0013471F">
        <w:rPr>
          <w:rFonts w:ascii="Arial Narrow" w:eastAsia="Times New Roman" w:hAnsi="Arial Narrow" w:cs="Times New Roman"/>
          <w:b/>
          <w:bCs/>
          <w:color w:val="222222"/>
          <w:sz w:val="23"/>
          <w:szCs w:val="23"/>
          <w:u w:val="single"/>
        </w:rPr>
        <w:t xml:space="preserve">SESI </w:t>
      </w:r>
      <w:r w:rsidR="0013471F" w:rsidRPr="0013471F">
        <w:rPr>
          <w:rFonts w:ascii="Arial Narrow" w:eastAsia="Times New Roman" w:hAnsi="Arial Narrow" w:cs="Times New Roman"/>
          <w:b/>
          <w:bCs/>
          <w:color w:val="222222"/>
          <w:sz w:val="23"/>
          <w:szCs w:val="23"/>
          <w:u w:val="single"/>
        </w:rPr>
        <w:t>:</w:t>
      </w:r>
      <w:proofErr w:type="gramEnd"/>
      <w:r w:rsidR="0013471F" w:rsidRPr="0013471F">
        <w:rPr>
          <w:rFonts w:ascii="Arial Narrow" w:eastAsia="Times New Roman" w:hAnsi="Arial Narrow" w:cs="Times New Roman"/>
          <w:b/>
          <w:bCs/>
          <w:color w:val="222222"/>
          <w:sz w:val="23"/>
          <w:szCs w:val="23"/>
          <w:u w:val="single"/>
        </w:rPr>
        <w:t xml:space="preserve"> 1. </w:t>
      </w:r>
    </w:p>
    <w:p w:rsidR="0013471F" w:rsidRPr="0013471F" w:rsidRDefault="0013471F" w:rsidP="00B97B8E">
      <w:pPr>
        <w:shd w:val="clear" w:color="auto" w:fill="FFF9EE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color w:val="222222"/>
          <w:sz w:val="23"/>
          <w:szCs w:val="23"/>
          <w:u w:val="single"/>
        </w:rPr>
      </w:pP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62FC">
        <w:rPr>
          <w:rFonts w:ascii="Arial Narrow" w:eastAsia="Times New Roman" w:hAnsi="Arial Narrow" w:cs="Times New Roman"/>
          <w:b/>
          <w:bCs/>
          <w:color w:val="222222"/>
          <w:sz w:val="23"/>
          <w:szCs w:val="23"/>
        </w:rPr>
        <w:t>1.1.</w:t>
      </w:r>
      <w:r w:rsidRPr="00E462F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Penamaan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/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Istilah</w:t>
      </w:r>
      <w:proofErr w:type="spellEnd"/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H.T.P      :     SK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Menteri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 &amp; K 30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Desember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1972 No. 0198/U/1972 (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Kurikulum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minimal 1972)</w:t>
      </w:r>
    </w:p>
    <w:p w:rsidR="00B97B8E" w:rsidRPr="00B97B8E" w:rsidRDefault="0013471F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H.A.N.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: </w:t>
      </w:r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Pertemuan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Dosen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Pengajar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Mata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Kuliah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Sejenis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Cibubur</w:t>
      </w:r>
      <w:proofErr w:type="spellEnd"/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Tanggal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26-28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Maret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1973.</w:t>
      </w:r>
      <w:proofErr w:type="gramEnd"/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-SK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Mendikbud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No. 31/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Dj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Kep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/1983 (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Kurikulum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inti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</w:t>
      </w: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Pendidikan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Sarjana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Bidang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H.T.U.N   :   UU No. 5/1986. 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UU.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No. 9/2004</w:t>
      </w: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UUDS 1950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Pasal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108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142</w:t>
      </w: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Istilah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Konsep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H.A.N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L.A.N</w:t>
      </w: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4219"/>
      </w:tblGrid>
      <w:tr w:rsidR="00B97B8E" w:rsidRPr="00B97B8E" w:rsidTr="007C734D">
        <w:tc>
          <w:tcPr>
            <w:tcW w:w="3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6"/>
            </w:tblGrid>
            <w:tr w:rsidR="00B97B8E" w:rsidRPr="00B97B8E" w:rsidTr="007C734D">
              <w:trPr>
                <w:gridAfter w:val="1"/>
                <w:trHeight w:val="150"/>
                <w:tblCellSpacing w:w="0" w:type="dxa"/>
              </w:trPr>
              <w:tc>
                <w:tcPr>
                  <w:tcW w:w="390" w:type="dxa"/>
                  <w:vAlign w:val="center"/>
                  <w:hideMark/>
                </w:tcPr>
                <w:p w:rsidR="00B97B8E" w:rsidRPr="00B97B8E" w:rsidRDefault="00B97B8E" w:rsidP="007C7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97B8E" w:rsidRPr="00B97B8E" w:rsidTr="007C734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B8E" w:rsidRPr="00B97B8E" w:rsidRDefault="00B97B8E" w:rsidP="007C7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7B8E" w:rsidRPr="00B97B8E" w:rsidRDefault="00B97B8E" w:rsidP="007C7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7B8E" w:rsidRPr="00B97B8E" w:rsidRDefault="00B97B8E" w:rsidP="007C7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7C7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B      =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(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rg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rh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97B8E" w:rsidRPr="00B97B8E" w:rsidRDefault="00B97B8E" w:rsidP="007C7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=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Kekuasaan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Negara</w:t>
            </w:r>
          </w:p>
          <w:p w:rsidR="00B97B8E" w:rsidRPr="00B97B8E" w:rsidRDefault="00B97B8E" w:rsidP="007C7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rg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=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Regelgwving</w:t>
            </w:r>
            <w:proofErr w:type="spellEnd"/>
          </w:p>
          <w:p w:rsidR="00B97B8E" w:rsidRPr="00B97B8E" w:rsidRDefault="00B97B8E" w:rsidP="007C7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rh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=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Rechspraak</w:t>
            </w:r>
            <w:proofErr w:type="spellEnd"/>
          </w:p>
          <w:p w:rsidR="00B97B8E" w:rsidRPr="00B97B8E" w:rsidRDefault="00B97B8E" w:rsidP="007C7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B      =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Besturen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BestUUr</w:t>
            </w:r>
            <w:proofErr w:type="spellEnd"/>
          </w:p>
          <w:p w:rsidR="00B97B8E" w:rsidRPr="00B97B8E" w:rsidRDefault="00B97B8E" w:rsidP="007C7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(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Pemerintahan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7B8E" w:rsidRPr="00B97B8E" w:rsidTr="007C734D">
        <w:tc>
          <w:tcPr>
            <w:tcW w:w="3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B8E" w:rsidRPr="00B97B8E" w:rsidRDefault="00B97B8E" w:rsidP="007C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1.2.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Pengertian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HAN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Kamus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Bahasa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Indonesia,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diartikan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3471F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   Usaha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meliputi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penetapan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tujuan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penetapan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cara-cara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347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</w:p>
    <w:p w:rsidR="00B97B8E" w:rsidRPr="00B97B8E" w:rsidRDefault="0013471F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penyelenggaraan</w:t>
      </w:r>
      <w:proofErr w:type="spellEnd"/>
      <w:proofErr w:type="gram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pembinaan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3471F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  Usaha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dikaitkan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penyelenggaraan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kebijaksanaan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mencapai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B97B8E" w:rsidRPr="00B97B8E" w:rsidRDefault="0013471F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tujuan</w:t>
      </w:r>
      <w:proofErr w:type="spellEnd"/>
      <w:proofErr w:type="gram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berkaitan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penyelenggaraan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kantor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Tata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Prajudi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Atmosudirdjo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mengatakan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mempunyai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1.   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2.   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aparatur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aparat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3.   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penyelenggaraan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tugas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pekerjaan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memerlukan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kerjasama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teratur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E. Utrecht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gabungan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jabatan-jabatan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aparat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alat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dibawah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pimpinan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pekerjaan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Dimock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&amp;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Dimock</w:t>
      </w:r>
      <w:proofErr w:type="spellEnd"/>
      <w:proofErr w:type="gram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aktifitas-aktifitas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kekuasaan-kekuasaan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politiknya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sempit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altifitas-aktifitas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eksekutif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/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Pemerintahan</w:t>
      </w:r>
      <w:proofErr w:type="spell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teroti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praktek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perbedaan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bestUUrvoering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pelaksanaan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tugas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sedangkan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Organ/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alat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aparat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menjalankan</w:t>
      </w:r>
      <w:proofErr w:type="spellEnd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alat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kelengkapan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diartikan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luas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sempit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Luas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mencakup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alat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kelengkapan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pokoknya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terdiri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cabang-cabang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eksekutif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legislative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yudisial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alat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kelengkapan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lain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bertindak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nama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sempit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cabang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eksekutif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Organ/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alat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perlengkapan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diserahi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tugas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Undang-undang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jelasnya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dikemukakan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a.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luas</w:t>
      </w:r>
      <w:proofErr w:type="spell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Menurut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ajaran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“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Trias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Politica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Montesquieu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melupti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Pembentukan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Undang-undang</w:t>
      </w:r>
      <w:proofErr w:type="spellEnd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>Legislatif</w:t>
      </w:r>
      <w:proofErr w:type="spellEnd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Pelaksanaan</w:t>
      </w:r>
      <w:proofErr w:type="spellEnd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>Eksekutif</w:t>
      </w:r>
      <w:proofErr w:type="spellEnd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Peradilan</w:t>
      </w:r>
      <w:proofErr w:type="spellEnd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>Yudikatif</w:t>
      </w:r>
      <w:proofErr w:type="spellEnd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b.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sempit</w:t>
      </w:r>
      <w:proofErr w:type="spell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dimaksut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sempit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pelaksanaan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termasuk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Perundang-undangan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peradilan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kepolisian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keputusan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ustilah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disebutkan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dua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pengertian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lain :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-   </w:t>
      </w:r>
      <w:proofErr w:type="spellStart"/>
      <w:r w:rsidR="003E03BE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: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yakni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aktifitas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tugas-tugas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istilah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Donner,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Penyelenggaraan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kepentingan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umum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dinas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publik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umum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kumpulan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Organ-Organ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dibebani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tugas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bila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mana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mempelajari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ketentuan-ketentuan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susunan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termasuk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didalamnya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penugasan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kewenangan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kewajiban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masing-masing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departemen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meneliti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ketentuan-ketentuan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mengatur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apa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tindakan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aparatur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kewenangan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masing-masing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1.3.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Diskripsi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/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Pengertian</w:t>
      </w:r>
      <w:proofErr w:type="spellEnd"/>
      <w:proofErr w:type="gram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 HAN</w:t>
      </w:r>
      <w:proofErr w:type="gramEnd"/>
    </w:p>
    <w:p w:rsidR="003E03BE" w:rsidRPr="00B97B8E" w:rsidRDefault="003E03B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publik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yakni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mengatur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tindakan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mengatur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hubungan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warga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hubungan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memuat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keseluruhan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berkenaan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cara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bagaimana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tugasnya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Jadi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berisi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aturan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main yang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berkenaan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Organ-Organ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HAN/HTP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instrument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juridis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aktif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terlibat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kehidupan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disisi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lain 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anggota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mempengaruhi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memperoleh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perlindungan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Jadi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memuat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mengenai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aktifitas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meliputi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peraturan-peraturan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berkenaan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Administasi</w:t>
      </w:r>
      <w:proofErr w:type="spellEnd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berarti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disebut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juga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HTP.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Perkataan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disamakan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eksekutif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bukan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pembuat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Undang-undang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peradilan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1.4.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Ruang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Lingkup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HAN/HTP</w:t>
      </w: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“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Sturen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suatau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kontinyu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menerbitkan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ijin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mendirikan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bangunan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misalnya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tindaklah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berhenti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diterbitkannya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ijin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mendirikan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bangunan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senantiasa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mengawasi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agar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izin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ditaati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13471F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Stureb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berkaitan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penggunaan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konsep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konsep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publik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konsep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publik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Penggunaan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dilandaskan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asas-asas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demokrasi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instrumental.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demokrasi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tidaklah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sekedar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perwakilan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rakyat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Disamping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perwakilan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rakyat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keterbukaan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lembaga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inspraak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pengambilan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keputusan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artinya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instrumental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berkaitan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hakekat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instrument.</w:t>
      </w:r>
      <w:proofErr w:type="gramEnd"/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Parajudi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Atmosudirdjo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membagi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dua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B97B8E" w:rsidRPr="00B97B8E" w:rsidRDefault="00B97B8E" w:rsidP="00B97B8E">
      <w:pPr>
        <w:shd w:val="clear" w:color="auto" w:fill="FFF9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HAN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Heteronom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      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: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Bersumber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UUD, Tap MPR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UU.</w:t>
      </w:r>
    </w:p>
    <w:p w:rsidR="0013471F" w:rsidRDefault="00B97B8E" w:rsidP="0013471F">
      <w:pPr>
        <w:shd w:val="clear" w:color="auto" w:fill="FFF9EE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HAN</w:t>
      </w:r>
      <w:r w:rsidR="00134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Otonomi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: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operasional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r w:rsidR="001347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3471F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iciptakan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347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</w:p>
    <w:p w:rsidR="00B97B8E" w:rsidRPr="00B97B8E" w:rsidRDefault="0013471F" w:rsidP="0013471F">
      <w:pPr>
        <w:shd w:val="clear" w:color="auto" w:fill="FFF9EE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</w:t>
      </w:r>
      <w:proofErr w:type="spellStart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="00B97B8E"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Negara.</w:t>
      </w:r>
    </w:p>
    <w:p w:rsidR="00B97B8E" w:rsidRPr="00B97B8E" w:rsidRDefault="00B97B8E" w:rsidP="0013471F">
      <w:pPr>
        <w:shd w:val="clear" w:color="auto" w:fill="FFF9EE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   1.5.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Letak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/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Kedudukan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Lapangan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Hukum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materiil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terletak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diantara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prifat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pidana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disebut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juga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sifat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letak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demikian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digambarkan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skema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7560" w:type="dxa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880"/>
        <w:gridCol w:w="2340"/>
      </w:tblGrid>
      <w:tr w:rsidR="00B97B8E" w:rsidRPr="00B97B8E" w:rsidTr="007C734D">
        <w:trPr>
          <w:trHeight w:val="448"/>
        </w:trPr>
        <w:tc>
          <w:tcPr>
            <w:tcW w:w="7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7B8E" w:rsidRPr="00B97B8E" w:rsidRDefault="00B97B8E" w:rsidP="00B97B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Konstitusi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/ HTN</w:t>
            </w:r>
          </w:p>
        </w:tc>
      </w:tr>
      <w:tr w:rsidR="00B97B8E" w:rsidRPr="00B97B8E" w:rsidTr="007C734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B8E" w:rsidRPr="00B97B8E" w:rsidRDefault="00B97B8E" w:rsidP="00B97B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Perdata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Formil</w:t>
            </w:r>
            <w:proofErr w:type="spellEnd"/>
          </w:p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Perdata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Materiil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B8E" w:rsidRPr="00B97B8E" w:rsidRDefault="00B97B8E" w:rsidP="00B97B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Formil</w:t>
            </w:r>
            <w:proofErr w:type="spellEnd"/>
          </w:p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5.         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Materiil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6.         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Formil</w:t>
            </w:r>
            <w:proofErr w:type="spellEnd"/>
          </w:p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7.         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B8E">
              <w:rPr>
                <w:rFonts w:ascii="Times New Roman" w:eastAsia="Times New Roman" w:hAnsi="Times New Roman" w:cs="Times New Roman"/>
                <w:sz w:val="24"/>
                <w:szCs w:val="24"/>
              </w:rPr>
              <w:t>Materiil</w:t>
            </w:r>
            <w:proofErr w:type="spellEnd"/>
          </w:p>
          <w:p w:rsidR="00B97B8E" w:rsidRPr="00B97B8E" w:rsidRDefault="00B97B8E" w:rsidP="00B97B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3471F" w:rsidRDefault="0013471F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1.6.    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Hubungan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HAN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Cabang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Lainnya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1.6.1.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Hubungan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HAN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HTN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</w:t>
      </w: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Van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Hollenhoven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: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tanpa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aturan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Tata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lumpuh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mempunyai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wewenang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apapun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wewenangnya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berketentuan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tanpa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bebas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sepenuhnya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menjalankan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wewenangnya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menurut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kehendaknya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sendiri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</w:t>
      </w: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J.B.J.M. Ten Berger :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perpanjangan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HTN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sekunder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HTN.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Bacsan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Mustafa : 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HTN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dua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dibedakan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tetapi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dipisahkan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lain.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</w:t>
      </w: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W.F.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Prins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: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batas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tegas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dua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e.   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Kranemburg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:</w:t>
      </w:r>
      <w:proofErr w:type="gram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mempelajari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tanpa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didahului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pelajaran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HTN.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Hubungan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semacam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agaknya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terjadi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dagang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Perdata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1.7.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Landasan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Negara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Landasan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terbagi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       Negara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legalitas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Pelaksanaan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HAM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Pembagian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Pengawasan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Pengadilan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b.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Demokrasi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Badan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Perwakilan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Rakyat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Asas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Keterbukaan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-   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Serta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Karakteristik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Ajaran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Instrumental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1.8.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Negara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Dua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konsep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1.    </w:t>
      </w: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De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Haar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ct</w:t>
      </w:r>
      <w:proofErr w:type="spellEnd"/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bukunya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Urecht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in de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Sociale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Rechtstaat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(1986)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memaparkan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Normatif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Meliputi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instrument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Instrumental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aktif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kewenangan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berupa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beleid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Jaminan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jaminan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menyangkut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keterbukaan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mekanisme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control,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perlindungan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dang anti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kerugian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2.    </w:t>
      </w:r>
      <w:r w:rsidRPr="00B97B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J. Van Der Hoven 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bukunya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De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Drie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Dimensies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Van Het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Best</w:t>
      </w:r>
      <w:r w:rsidR="00331B7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uu</w:t>
      </w:r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rsrecht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(1989)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memaparkan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tiga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sisi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Administrasi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Hukum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kekuasaan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Pemerintahan</w:t>
      </w:r>
      <w:proofErr w:type="spellEnd"/>
    </w:p>
    <w:p w:rsidR="00B97B8E" w:rsidRPr="00B97B8E" w:rsidRDefault="00B97B8E" w:rsidP="00B97B8E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</w:t>
      </w:r>
      <w:proofErr w:type="gramStart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proofErr w:type="gram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De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Organizatie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en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instrumentarium</w:t>
      </w:r>
      <w:proofErr w:type="spellEnd"/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053F9" w:rsidRDefault="00B97B8E" w:rsidP="009053F9">
      <w:pPr>
        <w:shd w:val="clear" w:color="auto" w:fill="FFF9EE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  <w:r w:rsidRPr="00B97B8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c. </w:t>
      </w:r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De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rechtsposotie</w:t>
      </w:r>
      <w:proofErr w:type="spellEnd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B97B8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va</w:t>
      </w:r>
      <w:r w:rsidR="00331B7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nder</w:t>
      </w:r>
      <w:proofErr w:type="spellEnd"/>
      <w:r w:rsidR="00331B7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burger </w:t>
      </w:r>
      <w:proofErr w:type="spellStart"/>
      <w:r w:rsidR="00331B7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</w:t>
      </w:r>
      <w:r w:rsidR="009053F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genover</w:t>
      </w:r>
      <w:proofErr w:type="spellEnd"/>
      <w:r w:rsidR="009053F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het </w:t>
      </w:r>
      <w:proofErr w:type="spellStart"/>
      <w:r w:rsidR="009053F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bestu</w:t>
      </w:r>
      <w:r w:rsidR="00B142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urecht</w:t>
      </w:r>
      <w:proofErr w:type="spellEnd"/>
      <w:r w:rsidR="00B142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bookmarkStart w:id="0" w:name="_GoBack"/>
      <w:bookmarkEnd w:id="0"/>
    </w:p>
    <w:p w:rsidR="009053F9" w:rsidRDefault="009053F9">
      <w:pPr>
        <w:spacing w:line="360" w:lineRule="auto"/>
        <w:rPr>
          <w:u w:val="single"/>
        </w:rPr>
      </w:pPr>
    </w:p>
    <w:p w:rsidR="009053F9" w:rsidRDefault="009053F9">
      <w:pPr>
        <w:spacing w:line="360" w:lineRule="auto"/>
        <w:rPr>
          <w:u w:val="single"/>
        </w:rPr>
      </w:pPr>
    </w:p>
    <w:p w:rsidR="009053F9" w:rsidRDefault="009053F9">
      <w:pPr>
        <w:spacing w:line="360" w:lineRule="auto"/>
        <w:rPr>
          <w:u w:val="single"/>
        </w:rPr>
      </w:pPr>
    </w:p>
    <w:p w:rsidR="009053F9" w:rsidRPr="009053F9" w:rsidRDefault="009053F9">
      <w:pPr>
        <w:spacing w:line="360" w:lineRule="auto"/>
        <w:rPr>
          <w:u w:val="single"/>
        </w:rPr>
      </w:pPr>
      <w:r>
        <w:rPr>
          <w:u w:val="single"/>
        </w:rPr>
        <w:t>------------------------------------------------------------99---------------------------------------------------------------------------</w:t>
      </w:r>
    </w:p>
    <w:sectPr w:rsidR="009053F9" w:rsidRPr="0090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8E"/>
    <w:rsid w:val="0013471F"/>
    <w:rsid w:val="00212524"/>
    <w:rsid w:val="00307376"/>
    <w:rsid w:val="00331B7B"/>
    <w:rsid w:val="00376A81"/>
    <w:rsid w:val="003E03BE"/>
    <w:rsid w:val="009053F9"/>
    <w:rsid w:val="00B14294"/>
    <w:rsid w:val="00B9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Tanaya</dc:creator>
  <cp:lastModifiedBy>Tanaya</cp:lastModifiedBy>
  <cp:revision>4</cp:revision>
  <dcterms:created xsi:type="dcterms:W3CDTF">2020-04-08T16:39:00Z</dcterms:created>
  <dcterms:modified xsi:type="dcterms:W3CDTF">2020-04-08T17:42:00Z</dcterms:modified>
</cp:coreProperties>
</file>